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69" w:rsidRPr="00522E69" w:rsidRDefault="00522E69" w:rsidP="000C5B67">
      <w:pPr>
        <w:jc w:val="both"/>
        <w:rPr>
          <w:rFonts w:ascii="Arial" w:hAnsi="Arial" w:cs="Arial"/>
          <w:b/>
          <w:sz w:val="20"/>
        </w:rPr>
      </w:pPr>
      <w:bookmarkStart w:id="0" w:name="_GoBack"/>
      <w:r w:rsidRPr="00522E69">
        <w:rPr>
          <w:rFonts w:ascii="Arial" w:hAnsi="Arial" w:cs="Arial"/>
          <w:b/>
          <w:sz w:val="20"/>
        </w:rPr>
        <w:t>SEB: Annual General Mandate</w:t>
      </w:r>
    </w:p>
    <w:bookmarkEnd w:id="0"/>
    <w:p w:rsidR="00522E69" w:rsidRPr="00522E69" w:rsidRDefault="00522E69" w:rsidP="000C5B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28/04/2017, </w:t>
      </w:r>
      <w:r w:rsidRPr="00522E69">
        <w:rPr>
          <w:rFonts w:ascii="Arial" w:hAnsi="Arial" w:cs="Arial"/>
          <w:sz w:val="20"/>
        </w:rPr>
        <w:t>Central Power Investment and Development JSC</w:t>
      </w:r>
      <w:r>
        <w:rPr>
          <w:rFonts w:ascii="Arial" w:hAnsi="Arial" w:cs="Arial"/>
          <w:sz w:val="20"/>
        </w:rPr>
        <w:t xml:space="preserve"> announced the Annual General Mandate as follows:</w:t>
      </w:r>
    </w:p>
    <w:p w:rsidR="00B0479E" w:rsidRDefault="002D716B" w:rsidP="000C5B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Article 1:</w:t>
      </w:r>
      <w:r w:rsidR="00264C4E">
        <w:rPr>
          <w:rFonts w:ascii="Arial" w:hAnsi="Arial" w:cs="Arial"/>
          <w:sz w:val="20"/>
        </w:rPr>
        <w:t xml:space="preserve"> </w:t>
      </w:r>
      <w:r w:rsidR="00221D34">
        <w:rPr>
          <w:rFonts w:ascii="Arial" w:hAnsi="Arial" w:cs="Arial"/>
          <w:sz w:val="20"/>
        </w:rPr>
        <w:t>Approve</w:t>
      </w:r>
      <w:r w:rsidR="00264C4E">
        <w:rPr>
          <w:rFonts w:ascii="Arial" w:hAnsi="Arial" w:cs="Arial"/>
          <w:sz w:val="20"/>
        </w:rPr>
        <w:t xml:space="preserve"> report on </w:t>
      </w:r>
      <w:r w:rsidR="00E03FEB">
        <w:rPr>
          <w:rFonts w:ascii="Arial" w:hAnsi="Arial" w:cs="Arial"/>
          <w:sz w:val="20"/>
        </w:rPr>
        <w:t xml:space="preserve">2016 </w:t>
      </w:r>
      <w:r w:rsidR="00264C4E">
        <w:rPr>
          <w:rFonts w:ascii="Arial" w:hAnsi="Arial" w:cs="Arial"/>
          <w:sz w:val="20"/>
        </w:rPr>
        <w:t>busine</w:t>
      </w:r>
      <w:r w:rsidR="00E03FEB">
        <w:rPr>
          <w:rFonts w:ascii="Arial" w:hAnsi="Arial" w:cs="Arial"/>
          <w:sz w:val="20"/>
        </w:rPr>
        <w:t>ss production status of Company</w:t>
      </w:r>
      <w:r w:rsidR="00264C4E">
        <w:rPr>
          <w:rFonts w:ascii="Arial" w:hAnsi="Arial" w:cs="Arial"/>
          <w:sz w:val="20"/>
        </w:rPr>
        <w:t xml:space="preserve"> and </w:t>
      </w:r>
      <w:r w:rsidR="00E03FEB">
        <w:rPr>
          <w:rFonts w:ascii="Arial" w:hAnsi="Arial" w:cs="Arial"/>
          <w:sz w:val="20"/>
        </w:rPr>
        <w:t xml:space="preserve">2017 </w:t>
      </w:r>
      <w:r w:rsidR="00264C4E">
        <w:rPr>
          <w:rFonts w:ascii="Arial" w:hAnsi="Arial" w:cs="Arial"/>
          <w:sz w:val="20"/>
        </w:rPr>
        <w:t xml:space="preserve">business production plan. Report </w:t>
      </w:r>
      <w:r w:rsidR="00110EBF">
        <w:rPr>
          <w:rFonts w:ascii="Arial" w:hAnsi="Arial" w:cs="Arial"/>
          <w:sz w:val="20"/>
        </w:rPr>
        <w:t>on</w:t>
      </w:r>
      <w:r w:rsidR="00E03FEB">
        <w:rPr>
          <w:rFonts w:ascii="Arial" w:hAnsi="Arial" w:cs="Arial"/>
          <w:sz w:val="20"/>
        </w:rPr>
        <w:t xml:space="preserve"> </w:t>
      </w:r>
      <w:r w:rsidR="000C5B67">
        <w:rPr>
          <w:rFonts w:ascii="Arial" w:hAnsi="Arial" w:cs="Arial"/>
          <w:sz w:val="20"/>
        </w:rPr>
        <w:t>operation of Board of Director</w:t>
      </w:r>
      <w:r w:rsidR="00E03FEB">
        <w:rPr>
          <w:rFonts w:ascii="Arial" w:hAnsi="Arial" w:cs="Arial"/>
          <w:sz w:val="20"/>
        </w:rPr>
        <w:t xml:space="preserve"> </w:t>
      </w:r>
      <w:r w:rsidR="00110EBF">
        <w:rPr>
          <w:rFonts w:ascii="Arial" w:hAnsi="Arial" w:cs="Arial"/>
          <w:sz w:val="20"/>
        </w:rPr>
        <w:t xml:space="preserve">in 2016 </w:t>
      </w:r>
      <w:r w:rsidR="000C5B67">
        <w:rPr>
          <w:rFonts w:ascii="Arial" w:hAnsi="Arial" w:cs="Arial"/>
          <w:sz w:val="20"/>
        </w:rPr>
        <w:t xml:space="preserve">and </w:t>
      </w:r>
      <w:r w:rsidR="00E03FEB">
        <w:rPr>
          <w:rFonts w:ascii="Arial" w:hAnsi="Arial" w:cs="Arial"/>
          <w:sz w:val="20"/>
        </w:rPr>
        <w:t>2017 mission direction</w:t>
      </w:r>
      <w:r w:rsidR="000C5B67">
        <w:rPr>
          <w:rFonts w:ascii="Arial" w:hAnsi="Arial" w:cs="Arial"/>
          <w:sz w:val="20"/>
        </w:rPr>
        <w:t xml:space="preserve"> with the major indicators as follows:</w:t>
      </w:r>
    </w:p>
    <w:p w:rsidR="000C5B67" w:rsidRPr="00110EBF" w:rsidRDefault="000C5B67" w:rsidP="000C5B6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</w:rPr>
      </w:pPr>
      <w:r w:rsidRPr="00110EBF">
        <w:rPr>
          <w:rFonts w:ascii="Arial" w:hAnsi="Arial" w:cs="Arial"/>
          <w:b/>
          <w:i/>
          <w:sz w:val="20"/>
        </w:rPr>
        <w:t xml:space="preserve">Report on </w:t>
      </w:r>
      <w:r w:rsidR="000F202D" w:rsidRPr="00110EBF">
        <w:rPr>
          <w:rFonts w:ascii="Arial" w:hAnsi="Arial" w:cs="Arial"/>
          <w:b/>
          <w:i/>
          <w:sz w:val="20"/>
        </w:rPr>
        <w:t>the res</w:t>
      </w:r>
      <w:r w:rsidR="00667EE1" w:rsidRPr="00110EBF">
        <w:rPr>
          <w:rFonts w:ascii="Arial" w:hAnsi="Arial" w:cs="Arial"/>
          <w:b/>
          <w:i/>
          <w:sz w:val="20"/>
        </w:rPr>
        <w:t xml:space="preserve">ult of </w:t>
      </w:r>
      <w:r w:rsidR="00312829">
        <w:rPr>
          <w:rFonts w:ascii="Arial" w:hAnsi="Arial" w:cs="Arial"/>
          <w:b/>
          <w:i/>
          <w:sz w:val="20"/>
        </w:rPr>
        <w:t xml:space="preserve">2016 </w:t>
      </w:r>
      <w:r w:rsidR="00667EE1" w:rsidRPr="00110EBF">
        <w:rPr>
          <w:rFonts w:ascii="Arial" w:hAnsi="Arial" w:cs="Arial"/>
          <w:b/>
          <w:i/>
          <w:sz w:val="20"/>
        </w:rPr>
        <w:t>business production.</w:t>
      </w:r>
    </w:p>
    <w:p w:rsidR="00667EE1" w:rsidRDefault="00667EE1" w:rsidP="00667EE1">
      <w:pPr>
        <w:pStyle w:val="ListParagraph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3420"/>
        <w:gridCol w:w="1345"/>
        <w:gridCol w:w="1766"/>
        <w:gridCol w:w="1767"/>
      </w:tblGrid>
      <w:tr w:rsidR="0024775C" w:rsidTr="00110EBF">
        <w:tc>
          <w:tcPr>
            <w:tcW w:w="558" w:type="dxa"/>
          </w:tcPr>
          <w:p w:rsidR="0024775C" w:rsidRPr="000E790A" w:rsidRDefault="0024775C" w:rsidP="00EF7C4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0E790A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3420" w:type="dxa"/>
          </w:tcPr>
          <w:p w:rsidR="0024775C" w:rsidRPr="000E790A" w:rsidRDefault="00E41C1B" w:rsidP="00EF7C4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0E790A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345" w:type="dxa"/>
          </w:tcPr>
          <w:p w:rsidR="0024775C" w:rsidRPr="000E790A" w:rsidRDefault="005F1C08" w:rsidP="00EF7C4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0E790A"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1766" w:type="dxa"/>
          </w:tcPr>
          <w:p w:rsidR="0024775C" w:rsidRPr="000E790A" w:rsidRDefault="000E790A" w:rsidP="00EF7C4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0E790A">
              <w:rPr>
                <w:rFonts w:ascii="Arial" w:hAnsi="Arial" w:cs="Arial"/>
                <w:b/>
                <w:sz w:val="20"/>
              </w:rPr>
              <w:t>Implementation of</w:t>
            </w:r>
            <w:r w:rsidR="0098627A" w:rsidRPr="000E790A">
              <w:rPr>
                <w:rFonts w:ascii="Arial" w:hAnsi="Arial" w:cs="Arial"/>
                <w:b/>
                <w:sz w:val="20"/>
              </w:rPr>
              <w:t xml:space="preserve"> 2016</w:t>
            </w:r>
          </w:p>
        </w:tc>
        <w:tc>
          <w:tcPr>
            <w:tcW w:w="1767" w:type="dxa"/>
          </w:tcPr>
          <w:p w:rsidR="0024775C" w:rsidRPr="000E790A" w:rsidRDefault="000E790A" w:rsidP="00EF7C4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Pr="000E790A">
              <w:rPr>
                <w:rFonts w:ascii="Arial" w:hAnsi="Arial" w:cs="Arial"/>
                <w:b/>
                <w:sz w:val="20"/>
              </w:rPr>
              <w:t>ompletion rate of the plan</w:t>
            </w:r>
            <w:r w:rsidR="00BE17FD">
              <w:rPr>
                <w:rFonts w:ascii="Arial" w:hAnsi="Arial" w:cs="Arial"/>
                <w:b/>
                <w:sz w:val="20"/>
              </w:rPr>
              <w:t xml:space="preserve"> (%)</w:t>
            </w:r>
          </w:p>
        </w:tc>
      </w:tr>
      <w:tr w:rsidR="0024775C" w:rsidTr="00110EBF">
        <w:tc>
          <w:tcPr>
            <w:tcW w:w="558" w:type="dxa"/>
          </w:tcPr>
          <w:p w:rsidR="0024775C" w:rsidRDefault="0024775C" w:rsidP="00EF7C4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0" w:type="dxa"/>
          </w:tcPr>
          <w:p w:rsidR="0024775C" w:rsidRDefault="004E55EC" w:rsidP="00EF7C4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4E55EC">
              <w:rPr>
                <w:rFonts w:ascii="Arial" w:hAnsi="Arial" w:cs="Arial"/>
                <w:sz w:val="20"/>
              </w:rPr>
              <w:t>ommercial electricity</w:t>
            </w:r>
          </w:p>
        </w:tc>
        <w:tc>
          <w:tcPr>
            <w:tcW w:w="1345" w:type="dxa"/>
          </w:tcPr>
          <w:p w:rsidR="0024775C" w:rsidRDefault="008911A3" w:rsidP="00EF7C4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kWh</w:t>
            </w:r>
          </w:p>
        </w:tc>
        <w:tc>
          <w:tcPr>
            <w:tcW w:w="1766" w:type="dxa"/>
          </w:tcPr>
          <w:p w:rsidR="0024775C" w:rsidRDefault="008911A3" w:rsidP="00BE17FD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92.9</w:t>
            </w:r>
          </w:p>
        </w:tc>
        <w:tc>
          <w:tcPr>
            <w:tcW w:w="1767" w:type="dxa"/>
          </w:tcPr>
          <w:p w:rsidR="0024775C" w:rsidRDefault="008911A3" w:rsidP="00BE17FD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116.13</w:t>
            </w:r>
          </w:p>
        </w:tc>
      </w:tr>
      <w:tr w:rsidR="0024775C" w:rsidTr="00110EBF">
        <w:tc>
          <w:tcPr>
            <w:tcW w:w="558" w:type="dxa"/>
          </w:tcPr>
          <w:p w:rsidR="0024775C" w:rsidRDefault="0024775C" w:rsidP="00EF7C4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20" w:type="dxa"/>
          </w:tcPr>
          <w:p w:rsidR="0024775C" w:rsidRDefault="00E302CA" w:rsidP="00EF7C4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Revenue:</w:t>
            </w:r>
          </w:p>
        </w:tc>
        <w:tc>
          <w:tcPr>
            <w:tcW w:w="1345" w:type="dxa"/>
          </w:tcPr>
          <w:p w:rsidR="0024775C" w:rsidRDefault="00EF7C4B" w:rsidP="00EF7C4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Billion VND</w:t>
            </w:r>
          </w:p>
        </w:tc>
        <w:tc>
          <w:tcPr>
            <w:tcW w:w="1766" w:type="dxa"/>
          </w:tcPr>
          <w:p w:rsidR="0024775C" w:rsidRDefault="008911A3" w:rsidP="00BE17FD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127.86</w:t>
            </w:r>
          </w:p>
        </w:tc>
        <w:tc>
          <w:tcPr>
            <w:tcW w:w="1767" w:type="dxa"/>
          </w:tcPr>
          <w:p w:rsidR="0024775C" w:rsidRDefault="008911A3" w:rsidP="00BE17FD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116.23</w:t>
            </w:r>
          </w:p>
        </w:tc>
      </w:tr>
      <w:tr w:rsidR="00EF7C4B" w:rsidTr="00110EBF">
        <w:tc>
          <w:tcPr>
            <w:tcW w:w="558" w:type="dxa"/>
          </w:tcPr>
          <w:p w:rsidR="00EF7C4B" w:rsidRDefault="00EF7C4B" w:rsidP="00EF7C4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EF7C4B" w:rsidRPr="00BE17FD" w:rsidRDefault="00EF7C4B" w:rsidP="00EF7C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</w:rPr>
            </w:pPr>
            <w:r w:rsidRPr="00BE17FD">
              <w:rPr>
                <w:rFonts w:ascii="Arial" w:hAnsi="Arial" w:cs="Arial"/>
                <w:i/>
                <w:sz w:val="20"/>
              </w:rPr>
              <w:t>For selling electricity</w:t>
            </w:r>
          </w:p>
        </w:tc>
        <w:tc>
          <w:tcPr>
            <w:tcW w:w="1345" w:type="dxa"/>
          </w:tcPr>
          <w:p w:rsidR="00EF7C4B" w:rsidRPr="00BE17FD" w:rsidRDefault="00EF7C4B" w:rsidP="00EF7C4B">
            <w:pPr>
              <w:jc w:val="center"/>
              <w:rPr>
                <w:i/>
              </w:rPr>
            </w:pPr>
            <w:r w:rsidRPr="00BE17FD">
              <w:rPr>
                <w:rFonts w:ascii="Arial" w:hAnsi="Arial" w:cs="Arial"/>
                <w:i/>
                <w:sz w:val="20"/>
              </w:rPr>
              <w:t>Billion VND</w:t>
            </w:r>
          </w:p>
        </w:tc>
        <w:tc>
          <w:tcPr>
            <w:tcW w:w="1766" w:type="dxa"/>
          </w:tcPr>
          <w:p w:rsidR="00EF7C4B" w:rsidRPr="00BE17FD" w:rsidRDefault="00EF7C4B" w:rsidP="00BE17FD">
            <w:pPr>
              <w:pStyle w:val="ListParagraph"/>
              <w:ind w:left="0"/>
              <w:jc w:val="right"/>
              <w:rPr>
                <w:rFonts w:ascii="Arial" w:hAnsi="Arial" w:cs="Arial"/>
                <w:i/>
                <w:sz w:val="20"/>
              </w:rPr>
            </w:pPr>
            <w:r w:rsidRPr="00BE17FD">
              <w:rPr>
                <w:rFonts w:ascii="Arial" w:hAnsi="Arial" w:cs="Arial"/>
                <w:i/>
                <w:sz w:val="20"/>
              </w:rPr>
              <w:t>127.04</w:t>
            </w:r>
          </w:p>
        </w:tc>
        <w:tc>
          <w:tcPr>
            <w:tcW w:w="1767" w:type="dxa"/>
          </w:tcPr>
          <w:p w:rsidR="00EF7C4B" w:rsidRPr="00BE17FD" w:rsidRDefault="00EF7C4B" w:rsidP="00BE17FD">
            <w:pPr>
              <w:pStyle w:val="ListParagraph"/>
              <w:ind w:left="0"/>
              <w:jc w:val="right"/>
              <w:rPr>
                <w:rFonts w:ascii="Arial" w:hAnsi="Arial" w:cs="Arial"/>
                <w:i/>
                <w:sz w:val="20"/>
              </w:rPr>
            </w:pPr>
            <w:r w:rsidRPr="00BE17FD">
              <w:rPr>
                <w:rFonts w:ascii="Arial" w:hAnsi="Arial" w:cs="Arial"/>
                <w:i/>
                <w:sz w:val="20"/>
              </w:rPr>
              <w:t>115.49</w:t>
            </w:r>
          </w:p>
        </w:tc>
      </w:tr>
      <w:tr w:rsidR="00EF7C4B" w:rsidTr="00110EBF">
        <w:tc>
          <w:tcPr>
            <w:tcW w:w="558" w:type="dxa"/>
          </w:tcPr>
          <w:p w:rsidR="00EF7C4B" w:rsidRDefault="00EF7C4B" w:rsidP="00EF7C4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EF7C4B" w:rsidRPr="00BE17FD" w:rsidRDefault="00EF7C4B" w:rsidP="00EF7C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</w:rPr>
            </w:pPr>
            <w:r w:rsidRPr="00BE17FD">
              <w:rPr>
                <w:rFonts w:ascii="Arial" w:hAnsi="Arial" w:cs="Arial"/>
                <w:i/>
                <w:sz w:val="20"/>
              </w:rPr>
              <w:t>For financial operation</w:t>
            </w:r>
          </w:p>
        </w:tc>
        <w:tc>
          <w:tcPr>
            <w:tcW w:w="1345" w:type="dxa"/>
          </w:tcPr>
          <w:p w:rsidR="00EF7C4B" w:rsidRPr="00BE17FD" w:rsidRDefault="00EF7C4B" w:rsidP="00EF7C4B">
            <w:pPr>
              <w:jc w:val="center"/>
              <w:rPr>
                <w:i/>
              </w:rPr>
            </w:pPr>
            <w:r w:rsidRPr="00BE17FD">
              <w:rPr>
                <w:rFonts w:ascii="Arial" w:hAnsi="Arial" w:cs="Arial"/>
                <w:i/>
                <w:sz w:val="20"/>
              </w:rPr>
              <w:t>Billion VND</w:t>
            </w:r>
          </w:p>
        </w:tc>
        <w:tc>
          <w:tcPr>
            <w:tcW w:w="1766" w:type="dxa"/>
          </w:tcPr>
          <w:p w:rsidR="00EF7C4B" w:rsidRPr="00BE17FD" w:rsidRDefault="00EF7C4B" w:rsidP="00BE17FD">
            <w:pPr>
              <w:pStyle w:val="ListParagraph"/>
              <w:ind w:left="0"/>
              <w:jc w:val="right"/>
              <w:rPr>
                <w:rFonts w:ascii="Arial" w:hAnsi="Arial" w:cs="Arial"/>
                <w:i/>
                <w:sz w:val="20"/>
              </w:rPr>
            </w:pPr>
            <w:r w:rsidRPr="00BE17FD">
              <w:rPr>
                <w:rFonts w:ascii="Arial" w:hAnsi="Arial" w:cs="Arial"/>
                <w:i/>
                <w:sz w:val="20"/>
              </w:rPr>
              <w:t>0.78</w:t>
            </w:r>
          </w:p>
        </w:tc>
        <w:tc>
          <w:tcPr>
            <w:tcW w:w="1767" w:type="dxa"/>
          </w:tcPr>
          <w:p w:rsidR="00EF7C4B" w:rsidRPr="00BE17FD" w:rsidRDefault="00EF7C4B" w:rsidP="00BE17FD">
            <w:pPr>
              <w:pStyle w:val="ListParagraph"/>
              <w:ind w:left="0"/>
              <w:jc w:val="right"/>
              <w:rPr>
                <w:rFonts w:ascii="Arial" w:hAnsi="Arial" w:cs="Arial"/>
                <w:i/>
                <w:sz w:val="20"/>
              </w:rPr>
            </w:pPr>
          </w:p>
        </w:tc>
      </w:tr>
      <w:tr w:rsidR="00EF7C4B" w:rsidTr="00110EBF">
        <w:tc>
          <w:tcPr>
            <w:tcW w:w="558" w:type="dxa"/>
          </w:tcPr>
          <w:p w:rsidR="00EF7C4B" w:rsidRDefault="00EF7C4B" w:rsidP="00EF7C4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EF7C4B" w:rsidRPr="00BE17FD" w:rsidRDefault="00EF7C4B" w:rsidP="00EF7C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</w:rPr>
            </w:pPr>
            <w:r w:rsidRPr="00BE17FD">
              <w:rPr>
                <w:rFonts w:ascii="Arial" w:hAnsi="Arial" w:cs="Arial"/>
                <w:i/>
                <w:sz w:val="20"/>
              </w:rPr>
              <w:t>Other revenue</w:t>
            </w:r>
          </w:p>
        </w:tc>
        <w:tc>
          <w:tcPr>
            <w:tcW w:w="1345" w:type="dxa"/>
          </w:tcPr>
          <w:p w:rsidR="00EF7C4B" w:rsidRPr="00BE17FD" w:rsidRDefault="00EF7C4B" w:rsidP="00EF7C4B">
            <w:pPr>
              <w:jc w:val="center"/>
              <w:rPr>
                <w:i/>
              </w:rPr>
            </w:pPr>
            <w:r w:rsidRPr="00BE17FD">
              <w:rPr>
                <w:rFonts w:ascii="Arial" w:hAnsi="Arial" w:cs="Arial"/>
                <w:i/>
                <w:sz w:val="20"/>
              </w:rPr>
              <w:t>Billion VND</w:t>
            </w:r>
          </w:p>
        </w:tc>
        <w:tc>
          <w:tcPr>
            <w:tcW w:w="1766" w:type="dxa"/>
          </w:tcPr>
          <w:p w:rsidR="00EF7C4B" w:rsidRPr="00BE17FD" w:rsidRDefault="00EF7C4B" w:rsidP="00BE17FD">
            <w:pPr>
              <w:pStyle w:val="ListParagraph"/>
              <w:ind w:left="0"/>
              <w:jc w:val="right"/>
              <w:rPr>
                <w:rFonts w:ascii="Arial" w:hAnsi="Arial" w:cs="Arial"/>
                <w:i/>
                <w:sz w:val="20"/>
              </w:rPr>
            </w:pPr>
            <w:r w:rsidRPr="00BE17FD">
              <w:rPr>
                <w:rFonts w:ascii="Arial" w:hAnsi="Arial" w:cs="Arial"/>
                <w:i/>
                <w:sz w:val="20"/>
              </w:rPr>
              <w:t>0.04</w:t>
            </w:r>
          </w:p>
        </w:tc>
        <w:tc>
          <w:tcPr>
            <w:tcW w:w="1767" w:type="dxa"/>
          </w:tcPr>
          <w:p w:rsidR="00EF7C4B" w:rsidRPr="00BE17FD" w:rsidRDefault="00EF7C4B" w:rsidP="00BE17FD">
            <w:pPr>
              <w:pStyle w:val="ListParagraph"/>
              <w:ind w:left="0"/>
              <w:jc w:val="right"/>
              <w:rPr>
                <w:rFonts w:ascii="Arial" w:hAnsi="Arial" w:cs="Arial"/>
                <w:i/>
                <w:sz w:val="20"/>
              </w:rPr>
            </w:pPr>
          </w:p>
        </w:tc>
      </w:tr>
      <w:tr w:rsidR="00EF7C4B" w:rsidTr="00110EBF">
        <w:tc>
          <w:tcPr>
            <w:tcW w:w="558" w:type="dxa"/>
          </w:tcPr>
          <w:p w:rsidR="00EF7C4B" w:rsidRDefault="00EF7C4B" w:rsidP="00EF7C4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20" w:type="dxa"/>
          </w:tcPr>
          <w:p w:rsidR="00EF7C4B" w:rsidRDefault="00EF7C4B" w:rsidP="00EF7C4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Profit after tax</w:t>
            </w:r>
          </w:p>
        </w:tc>
        <w:tc>
          <w:tcPr>
            <w:tcW w:w="1345" w:type="dxa"/>
          </w:tcPr>
          <w:p w:rsidR="00EF7C4B" w:rsidRDefault="00EF7C4B" w:rsidP="00EF7C4B">
            <w:pPr>
              <w:jc w:val="center"/>
            </w:pPr>
            <w:r w:rsidRPr="000C5D33">
              <w:rPr>
                <w:rFonts w:ascii="Arial" w:hAnsi="Arial" w:cs="Arial"/>
                <w:sz w:val="20"/>
              </w:rPr>
              <w:t>Billion VND</w:t>
            </w:r>
          </w:p>
        </w:tc>
        <w:tc>
          <w:tcPr>
            <w:tcW w:w="1766" w:type="dxa"/>
          </w:tcPr>
          <w:p w:rsidR="00EF7C4B" w:rsidRDefault="00EF7C4B" w:rsidP="00BE17FD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76.39</w:t>
            </w:r>
          </w:p>
        </w:tc>
        <w:tc>
          <w:tcPr>
            <w:tcW w:w="1767" w:type="dxa"/>
          </w:tcPr>
          <w:p w:rsidR="00EF7C4B" w:rsidRDefault="00EF7C4B" w:rsidP="00BE17FD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129.43</w:t>
            </w:r>
          </w:p>
        </w:tc>
      </w:tr>
      <w:tr w:rsidR="0024775C" w:rsidTr="00110EBF">
        <w:tc>
          <w:tcPr>
            <w:tcW w:w="558" w:type="dxa"/>
          </w:tcPr>
          <w:p w:rsidR="0024775C" w:rsidRDefault="0024775C" w:rsidP="00EF7C4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20" w:type="dxa"/>
          </w:tcPr>
          <w:p w:rsidR="0024775C" w:rsidRDefault="0098627A" w:rsidP="00EF7C4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Dividend payment</w:t>
            </w:r>
          </w:p>
        </w:tc>
        <w:tc>
          <w:tcPr>
            <w:tcW w:w="1345" w:type="dxa"/>
          </w:tcPr>
          <w:p w:rsidR="0024775C" w:rsidRDefault="00EF7C4B" w:rsidP="00EF7C4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766" w:type="dxa"/>
          </w:tcPr>
          <w:p w:rsidR="0024775C" w:rsidRDefault="008911A3" w:rsidP="00BE17FD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7" w:type="dxa"/>
          </w:tcPr>
          <w:p w:rsidR="0024775C" w:rsidRDefault="008911A3" w:rsidP="00BE17FD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:rsidR="000E790A" w:rsidRDefault="000E790A" w:rsidP="000E790A">
      <w:pPr>
        <w:pStyle w:val="ListParagraph"/>
        <w:jc w:val="both"/>
        <w:rPr>
          <w:rFonts w:ascii="Arial" w:hAnsi="Arial" w:cs="Arial"/>
          <w:sz w:val="20"/>
        </w:rPr>
      </w:pPr>
    </w:p>
    <w:p w:rsidR="000F202D" w:rsidRPr="00312829" w:rsidRDefault="00E03FEB" w:rsidP="000E79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</w:rPr>
      </w:pPr>
      <w:r w:rsidRPr="00312829">
        <w:rPr>
          <w:rFonts w:ascii="Arial" w:hAnsi="Arial" w:cs="Arial"/>
          <w:b/>
          <w:i/>
          <w:sz w:val="20"/>
        </w:rPr>
        <w:t xml:space="preserve">2017 </w:t>
      </w:r>
      <w:r w:rsidR="000E790A" w:rsidRPr="00312829">
        <w:rPr>
          <w:rFonts w:ascii="Arial" w:hAnsi="Arial" w:cs="Arial"/>
          <w:b/>
          <w:i/>
          <w:sz w:val="20"/>
        </w:rPr>
        <w:t xml:space="preserve">business production plan </w:t>
      </w:r>
    </w:p>
    <w:p w:rsidR="00667EE1" w:rsidRDefault="00667EE1" w:rsidP="00667EE1">
      <w:pPr>
        <w:pStyle w:val="ListParagraph"/>
        <w:jc w:val="both"/>
        <w:rPr>
          <w:rFonts w:ascii="Arial" w:hAnsi="Arial" w:cs="Arial"/>
          <w:sz w:val="20"/>
        </w:rPr>
      </w:pPr>
    </w:p>
    <w:tbl>
      <w:tblPr>
        <w:tblStyle w:val="TableGrid"/>
        <w:tblW w:w="901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8"/>
        <w:gridCol w:w="3600"/>
        <w:gridCol w:w="1260"/>
        <w:gridCol w:w="1260"/>
        <w:gridCol w:w="2340"/>
      </w:tblGrid>
      <w:tr w:rsidR="00C56169" w:rsidTr="00777673">
        <w:tc>
          <w:tcPr>
            <w:tcW w:w="558" w:type="dxa"/>
          </w:tcPr>
          <w:p w:rsidR="00667EE1" w:rsidRPr="000E790A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0E790A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3600" w:type="dxa"/>
          </w:tcPr>
          <w:p w:rsidR="00667EE1" w:rsidRPr="000E790A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0E790A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260" w:type="dxa"/>
          </w:tcPr>
          <w:p w:rsidR="00667EE1" w:rsidRPr="000E790A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0E790A"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1260" w:type="dxa"/>
          </w:tcPr>
          <w:p w:rsidR="00667EE1" w:rsidRPr="000E790A" w:rsidRDefault="00312829" w:rsidP="00AB4AF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Plan</w:t>
            </w:r>
            <w:r w:rsidR="00777673">
              <w:rPr>
                <w:rFonts w:ascii="Arial" w:hAnsi="Arial" w:cs="Arial"/>
                <w:b/>
                <w:sz w:val="20"/>
              </w:rPr>
              <w:t xml:space="preserve"> of 2017</w:t>
            </w:r>
          </w:p>
        </w:tc>
        <w:tc>
          <w:tcPr>
            <w:tcW w:w="2340" w:type="dxa"/>
          </w:tcPr>
          <w:p w:rsidR="00667EE1" w:rsidRPr="000E790A" w:rsidRDefault="00A7009C" w:rsidP="00A7009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Comparison with period of 2016 (%)</w:t>
            </w:r>
          </w:p>
        </w:tc>
      </w:tr>
      <w:tr w:rsidR="00C56169" w:rsidTr="00777673">
        <w:tc>
          <w:tcPr>
            <w:tcW w:w="558" w:type="dxa"/>
          </w:tcPr>
          <w:p w:rsidR="00667EE1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00" w:type="dxa"/>
          </w:tcPr>
          <w:p w:rsidR="00667EE1" w:rsidRDefault="004E55EC" w:rsidP="00AB4AF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4E55EC">
              <w:rPr>
                <w:rFonts w:ascii="Arial" w:hAnsi="Arial" w:cs="Arial"/>
                <w:sz w:val="20"/>
              </w:rPr>
              <w:t>ommercial electricity</w:t>
            </w:r>
          </w:p>
        </w:tc>
        <w:tc>
          <w:tcPr>
            <w:tcW w:w="1260" w:type="dxa"/>
          </w:tcPr>
          <w:p w:rsidR="00667EE1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Million kWh</w:t>
            </w:r>
          </w:p>
        </w:tc>
        <w:tc>
          <w:tcPr>
            <w:tcW w:w="1260" w:type="dxa"/>
          </w:tcPr>
          <w:p w:rsidR="00667EE1" w:rsidRDefault="00C56169" w:rsidP="00312829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2340" w:type="dxa"/>
          </w:tcPr>
          <w:p w:rsidR="00667EE1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116.13</w:t>
            </w:r>
          </w:p>
        </w:tc>
      </w:tr>
      <w:tr w:rsidR="00C56169" w:rsidTr="00777673">
        <w:tc>
          <w:tcPr>
            <w:tcW w:w="558" w:type="dxa"/>
          </w:tcPr>
          <w:p w:rsidR="00667EE1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00" w:type="dxa"/>
          </w:tcPr>
          <w:p w:rsidR="00667EE1" w:rsidRDefault="00667EE1" w:rsidP="00AB4AF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Revenue:</w:t>
            </w:r>
          </w:p>
        </w:tc>
        <w:tc>
          <w:tcPr>
            <w:tcW w:w="1260" w:type="dxa"/>
          </w:tcPr>
          <w:p w:rsidR="00667EE1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Billion VND</w:t>
            </w:r>
          </w:p>
        </w:tc>
        <w:tc>
          <w:tcPr>
            <w:tcW w:w="1260" w:type="dxa"/>
          </w:tcPr>
          <w:p w:rsidR="00667EE1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132.00</w:t>
            </w:r>
          </w:p>
        </w:tc>
        <w:tc>
          <w:tcPr>
            <w:tcW w:w="2340" w:type="dxa"/>
          </w:tcPr>
          <w:p w:rsidR="00667EE1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102.44</w:t>
            </w:r>
          </w:p>
        </w:tc>
      </w:tr>
      <w:tr w:rsidR="00C56169" w:rsidTr="00777673">
        <w:tc>
          <w:tcPr>
            <w:tcW w:w="558" w:type="dxa"/>
          </w:tcPr>
          <w:p w:rsidR="00667EE1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667EE1" w:rsidRPr="00312829" w:rsidRDefault="00667EE1" w:rsidP="00AB4A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</w:rPr>
            </w:pPr>
            <w:r w:rsidRPr="00312829">
              <w:rPr>
                <w:rFonts w:ascii="Arial" w:hAnsi="Arial" w:cs="Arial"/>
                <w:i/>
                <w:sz w:val="20"/>
              </w:rPr>
              <w:t>For selling electricity</w:t>
            </w:r>
          </w:p>
        </w:tc>
        <w:tc>
          <w:tcPr>
            <w:tcW w:w="1260" w:type="dxa"/>
          </w:tcPr>
          <w:p w:rsidR="00667EE1" w:rsidRPr="00312829" w:rsidRDefault="00667EE1" w:rsidP="00AB4AFD">
            <w:pPr>
              <w:jc w:val="center"/>
              <w:rPr>
                <w:i/>
              </w:rPr>
            </w:pPr>
            <w:r w:rsidRPr="00312829">
              <w:rPr>
                <w:rFonts w:ascii="Arial" w:hAnsi="Arial" w:cs="Arial"/>
                <w:i/>
                <w:sz w:val="20"/>
              </w:rPr>
              <w:t>Billion VND</w:t>
            </w:r>
          </w:p>
        </w:tc>
        <w:tc>
          <w:tcPr>
            <w:tcW w:w="1260" w:type="dxa"/>
          </w:tcPr>
          <w:p w:rsidR="00667EE1" w:rsidRPr="00312829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i/>
                <w:sz w:val="20"/>
              </w:rPr>
            </w:pPr>
            <w:r w:rsidRPr="00312829">
              <w:rPr>
                <w:rFonts w:ascii="Arial" w:hAnsi="Arial" w:cs="Arial"/>
                <w:i/>
                <w:sz w:val="20"/>
              </w:rPr>
              <w:t>130.5</w:t>
            </w:r>
          </w:p>
        </w:tc>
        <w:tc>
          <w:tcPr>
            <w:tcW w:w="2340" w:type="dxa"/>
          </w:tcPr>
          <w:p w:rsidR="00667EE1" w:rsidRPr="00312829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i/>
                <w:sz w:val="20"/>
              </w:rPr>
            </w:pPr>
            <w:r w:rsidRPr="00312829">
              <w:rPr>
                <w:rFonts w:ascii="Arial" w:hAnsi="Arial" w:cs="Arial"/>
                <w:i/>
                <w:sz w:val="20"/>
              </w:rPr>
              <w:t>102.72</w:t>
            </w:r>
          </w:p>
        </w:tc>
      </w:tr>
      <w:tr w:rsidR="00C56169" w:rsidTr="00777673">
        <w:tc>
          <w:tcPr>
            <w:tcW w:w="558" w:type="dxa"/>
          </w:tcPr>
          <w:p w:rsidR="00667EE1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667EE1" w:rsidRPr="00312829" w:rsidRDefault="00667EE1" w:rsidP="00AB4A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</w:rPr>
            </w:pPr>
            <w:r w:rsidRPr="00312829">
              <w:rPr>
                <w:rFonts w:ascii="Arial" w:hAnsi="Arial" w:cs="Arial"/>
                <w:i/>
                <w:sz w:val="20"/>
              </w:rPr>
              <w:t>For financial operation</w:t>
            </w:r>
          </w:p>
        </w:tc>
        <w:tc>
          <w:tcPr>
            <w:tcW w:w="1260" w:type="dxa"/>
          </w:tcPr>
          <w:p w:rsidR="00667EE1" w:rsidRPr="00312829" w:rsidRDefault="00667EE1" w:rsidP="00AB4AFD">
            <w:pPr>
              <w:jc w:val="center"/>
              <w:rPr>
                <w:i/>
              </w:rPr>
            </w:pPr>
            <w:r w:rsidRPr="00312829">
              <w:rPr>
                <w:rFonts w:ascii="Arial" w:hAnsi="Arial" w:cs="Arial"/>
                <w:i/>
                <w:sz w:val="20"/>
              </w:rPr>
              <w:t>Billion VND</w:t>
            </w:r>
          </w:p>
        </w:tc>
        <w:tc>
          <w:tcPr>
            <w:tcW w:w="1260" w:type="dxa"/>
          </w:tcPr>
          <w:p w:rsidR="00667EE1" w:rsidRPr="00312829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i/>
                <w:sz w:val="20"/>
              </w:rPr>
            </w:pPr>
            <w:r w:rsidRPr="00312829">
              <w:rPr>
                <w:rFonts w:ascii="Arial" w:hAnsi="Arial" w:cs="Arial"/>
                <w:i/>
                <w:sz w:val="20"/>
              </w:rPr>
              <w:t>1.5</w:t>
            </w:r>
          </w:p>
        </w:tc>
        <w:tc>
          <w:tcPr>
            <w:tcW w:w="2340" w:type="dxa"/>
          </w:tcPr>
          <w:p w:rsidR="00667EE1" w:rsidRPr="00312829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i/>
                <w:sz w:val="20"/>
              </w:rPr>
            </w:pPr>
            <w:r w:rsidRPr="00312829">
              <w:rPr>
                <w:rFonts w:ascii="Arial" w:hAnsi="Arial" w:cs="Arial"/>
                <w:i/>
                <w:sz w:val="20"/>
              </w:rPr>
              <w:t>192.3</w:t>
            </w:r>
          </w:p>
        </w:tc>
      </w:tr>
      <w:tr w:rsidR="00C56169" w:rsidTr="00777673">
        <w:tc>
          <w:tcPr>
            <w:tcW w:w="558" w:type="dxa"/>
          </w:tcPr>
          <w:p w:rsidR="00667EE1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00" w:type="dxa"/>
          </w:tcPr>
          <w:p w:rsidR="00667EE1" w:rsidRDefault="00667EE1" w:rsidP="00AB4AF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Profit after tax</w:t>
            </w:r>
          </w:p>
        </w:tc>
        <w:tc>
          <w:tcPr>
            <w:tcW w:w="1260" w:type="dxa"/>
          </w:tcPr>
          <w:p w:rsidR="00667EE1" w:rsidRDefault="00667EE1" w:rsidP="00AB4AFD">
            <w:pPr>
              <w:jc w:val="center"/>
            </w:pPr>
            <w:r w:rsidRPr="000C5D33">
              <w:rPr>
                <w:rFonts w:ascii="Arial" w:hAnsi="Arial" w:cs="Arial"/>
                <w:sz w:val="20"/>
              </w:rPr>
              <w:t>Billion VND</w:t>
            </w:r>
          </w:p>
        </w:tc>
        <w:tc>
          <w:tcPr>
            <w:tcW w:w="1260" w:type="dxa"/>
          </w:tcPr>
          <w:p w:rsidR="00667EE1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76.63</w:t>
            </w:r>
          </w:p>
        </w:tc>
        <w:tc>
          <w:tcPr>
            <w:tcW w:w="2340" w:type="dxa"/>
          </w:tcPr>
          <w:p w:rsidR="00667EE1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100.35</w:t>
            </w:r>
          </w:p>
        </w:tc>
      </w:tr>
      <w:tr w:rsidR="00C56169" w:rsidTr="00777673">
        <w:tc>
          <w:tcPr>
            <w:tcW w:w="558" w:type="dxa"/>
          </w:tcPr>
          <w:p w:rsidR="00667EE1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600" w:type="dxa"/>
          </w:tcPr>
          <w:p w:rsidR="00667EE1" w:rsidRDefault="00C56169" w:rsidP="00AB4AF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Profit after </w:t>
            </w:r>
            <w:r w:rsidR="003C6035" w:rsidRPr="003C6035">
              <w:rPr>
                <w:rFonts w:ascii="Arial" w:hAnsi="Arial" w:cs="Arial"/>
                <w:sz w:val="20"/>
              </w:rPr>
              <w:t>deduction for funds</w:t>
            </w:r>
          </w:p>
        </w:tc>
        <w:tc>
          <w:tcPr>
            <w:tcW w:w="1260" w:type="dxa"/>
          </w:tcPr>
          <w:p w:rsidR="00667EE1" w:rsidRDefault="00C56169" w:rsidP="00AB4AF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 w:rsidRPr="000C5D33">
              <w:rPr>
                <w:rFonts w:ascii="Arial" w:hAnsi="Arial" w:cs="Arial"/>
                <w:sz w:val="20"/>
              </w:rPr>
              <w:t>Billion VND</w:t>
            </w:r>
          </w:p>
        </w:tc>
        <w:tc>
          <w:tcPr>
            <w:tcW w:w="1260" w:type="dxa"/>
          </w:tcPr>
          <w:p w:rsidR="00667EE1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64.83</w:t>
            </w:r>
          </w:p>
        </w:tc>
        <w:tc>
          <w:tcPr>
            <w:tcW w:w="2340" w:type="dxa"/>
          </w:tcPr>
          <w:p w:rsidR="00667EE1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100.32</w:t>
            </w:r>
          </w:p>
        </w:tc>
      </w:tr>
      <w:tr w:rsidR="00667EE1" w:rsidTr="00777673">
        <w:tc>
          <w:tcPr>
            <w:tcW w:w="558" w:type="dxa"/>
          </w:tcPr>
          <w:p w:rsidR="00667EE1" w:rsidRDefault="00667EE1" w:rsidP="00AB4AF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600" w:type="dxa"/>
          </w:tcPr>
          <w:p w:rsidR="00667EE1" w:rsidRDefault="00667EE1" w:rsidP="00AB4AF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Dividend payment</w:t>
            </w:r>
          </w:p>
        </w:tc>
        <w:tc>
          <w:tcPr>
            <w:tcW w:w="1260" w:type="dxa"/>
          </w:tcPr>
          <w:p w:rsidR="00667EE1" w:rsidRDefault="00C56169" w:rsidP="00AB4AF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667EE1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340" w:type="dxa"/>
          </w:tcPr>
          <w:p w:rsidR="00667EE1" w:rsidRDefault="008E3767" w:rsidP="00312829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</w:t>
            </w:r>
          </w:p>
        </w:tc>
      </w:tr>
    </w:tbl>
    <w:p w:rsidR="00667EE1" w:rsidRDefault="00667EE1" w:rsidP="00667EE1">
      <w:pPr>
        <w:pStyle w:val="ListParagraph"/>
        <w:jc w:val="both"/>
        <w:rPr>
          <w:rFonts w:ascii="Arial" w:hAnsi="Arial" w:cs="Arial"/>
          <w:sz w:val="20"/>
        </w:rPr>
      </w:pPr>
    </w:p>
    <w:p w:rsidR="003C6035" w:rsidRDefault="003C6035" w:rsidP="00667EE1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General </w:t>
      </w:r>
      <w:r w:rsidR="00430D71">
        <w:rPr>
          <w:rFonts w:ascii="Arial" w:hAnsi="Arial" w:cs="Arial"/>
          <w:sz w:val="20"/>
        </w:rPr>
        <w:t xml:space="preserve">Meeting of Shareholders </w:t>
      </w:r>
      <w:r w:rsidR="00164090">
        <w:rPr>
          <w:rFonts w:ascii="Arial" w:hAnsi="Arial" w:cs="Arial"/>
          <w:sz w:val="20"/>
        </w:rPr>
        <w:t xml:space="preserve">approve with </w:t>
      </w:r>
      <w:r w:rsidR="00430D71">
        <w:rPr>
          <w:rFonts w:ascii="Arial" w:hAnsi="Arial" w:cs="Arial"/>
          <w:sz w:val="20"/>
        </w:rPr>
        <w:t>rate of 100%.</w:t>
      </w:r>
    </w:p>
    <w:p w:rsidR="00430D71" w:rsidRDefault="00430D71" w:rsidP="00430D71">
      <w:pPr>
        <w:jc w:val="both"/>
        <w:rPr>
          <w:rFonts w:ascii="Arial" w:hAnsi="Arial" w:cs="Arial"/>
          <w:sz w:val="20"/>
        </w:rPr>
      </w:pPr>
      <w:r w:rsidRPr="00221D34">
        <w:rPr>
          <w:rFonts w:ascii="Arial" w:hAnsi="Arial" w:cs="Arial"/>
          <w:b/>
          <w:sz w:val="20"/>
        </w:rPr>
        <w:t xml:space="preserve">Article </w:t>
      </w:r>
      <w:r w:rsidR="002D716B">
        <w:rPr>
          <w:rFonts w:ascii="Arial" w:hAnsi="Arial" w:cs="Arial"/>
          <w:b/>
          <w:sz w:val="20"/>
        </w:rPr>
        <w:t>2:</w:t>
      </w:r>
      <w:r>
        <w:rPr>
          <w:rFonts w:ascii="Arial" w:hAnsi="Arial" w:cs="Arial"/>
          <w:sz w:val="20"/>
        </w:rPr>
        <w:t xml:space="preserve"> </w:t>
      </w:r>
      <w:r w:rsidR="00221D34">
        <w:rPr>
          <w:rFonts w:ascii="Arial" w:hAnsi="Arial" w:cs="Arial"/>
          <w:sz w:val="20"/>
        </w:rPr>
        <w:t>Approve</w:t>
      </w:r>
      <w:r>
        <w:rPr>
          <w:rFonts w:ascii="Arial" w:hAnsi="Arial" w:cs="Arial"/>
          <w:sz w:val="20"/>
        </w:rPr>
        <w:t xml:space="preserve"> Report on operation of Board of Director </w:t>
      </w:r>
      <w:r w:rsidR="006B208A"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>2016 and 2017 plan.</w:t>
      </w:r>
    </w:p>
    <w:p w:rsidR="00430D71" w:rsidRDefault="00430D71" w:rsidP="00430D71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General Meeting of Shareholders </w:t>
      </w:r>
      <w:r w:rsidR="00164090">
        <w:rPr>
          <w:rFonts w:ascii="Arial" w:hAnsi="Arial" w:cs="Arial"/>
          <w:sz w:val="20"/>
        </w:rPr>
        <w:t xml:space="preserve">approve with </w:t>
      </w:r>
      <w:r>
        <w:rPr>
          <w:rFonts w:ascii="Arial" w:hAnsi="Arial" w:cs="Arial"/>
          <w:sz w:val="20"/>
        </w:rPr>
        <w:t>rate of 100%.</w:t>
      </w:r>
    </w:p>
    <w:p w:rsidR="00430D71" w:rsidRDefault="00573C4D" w:rsidP="00430D71">
      <w:pPr>
        <w:jc w:val="both"/>
        <w:rPr>
          <w:rFonts w:ascii="Arial" w:hAnsi="Arial" w:cs="Arial"/>
          <w:sz w:val="20"/>
        </w:rPr>
      </w:pPr>
      <w:r w:rsidRPr="00221D34">
        <w:rPr>
          <w:rFonts w:ascii="Arial" w:hAnsi="Arial" w:cs="Arial"/>
          <w:b/>
          <w:sz w:val="20"/>
        </w:rPr>
        <w:t xml:space="preserve">Article </w:t>
      </w:r>
      <w:r w:rsidR="002D716B">
        <w:rPr>
          <w:rFonts w:ascii="Arial" w:hAnsi="Arial" w:cs="Arial"/>
          <w:b/>
          <w:sz w:val="20"/>
        </w:rPr>
        <w:t>3:</w:t>
      </w:r>
      <w:r>
        <w:rPr>
          <w:rFonts w:ascii="Arial" w:hAnsi="Arial" w:cs="Arial"/>
          <w:sz w:val="20"/>
        </w:rPr>
        <w:t xml:space="preserve"> </w:t>
      </w:r>
      <w:r w:rsidR="00221D34">
        <w:rPr>
          <w:rFonts w:ascii="Arial" w:hAnsi="Arial" w:cs="Arial"/>
          <w:sz w:val="20"/>
        </w:rPr>
        <w:t>Approve</w:t>
      </w:r>
      <w:r>
        <w:rPr>
          <w:rFonts w:ascii="Arial" w:hAnsi="Arial" w:cs="Arial"/>
          <w:sz w:val="20"/>
        </w:rPr>
        <w:t xml:space="preserve"> Report of </w:t>
      </w:r>
      <w:r w:rsidR="009B4670">
        <w:rPr>
          <w:rFonts w:ascii="Arial" w:hAnsi="Arial" w:cs="Arial"/>
          <w:sz w:val="20"/>
        </w:rPr>
        <w:t>2016 Audited Board</w:t>
      </w:r>
      <w:r>
        <w:rPr>
          <w:rFonts w:ascii="Arial" w:hAnsi="Arial" w:cs="Arial"/>
          <w:sz w:val="20"/>
        </w:rPr>
        <w:t xml:space="preserve"> and </w:t>
      </w:r>
      <w:r w:rsidR="007C3AF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election of </w:t>
      </w:r>
      <w:r w:rsidR="002E0692" w:rsidRPr="002E0692">
        <w:rPr>
          <w:rFonts w:ascii="Arial" w:hAnsi="Arial" w:cs="Arial"/>
          <w:sz w:val="20"/>
        </w:rPr>
        <w:t>AAS</w:t>
      </w:r>
      <w:r w:rsidR="00B418D4">
        <w:rPr>
          <w:rFonts w:ascii="Arial" w:hAnsi="Arial" w:cs="Arial"/>
          <w:sz w:val="20"/>
        </w:rPr>
        <w:t xml:space="preserve">C Auditing Firm Company Limited </w:t>
      </w:r>
      <w:r w:rsidR="00444640">
        <w:rPr>
          <w:rFonts w:ascii="Arial" w:hAnsi="Arial" w:cs="Arial"/>
          <w:sz w:val="20"/>
        </w:rPr>
        <w:t>to audit</w:t>
      </w:r>
      <w:r w:rsidR="00D03004">
        <w:rPr>
          <w:rFonts w:ascii="Arial" w:hAnsi="Arial" w:cs="Arial"/>
          <w:sz w:val="20"/>
        </w:rPr>
        <w:t xml:space="preserve"> </w:t>
      </w:r>
      <w:r w:rsidR="006B208A">
        <w:rPr>
          <w:rFonts w:ascii="Arial" w:hAnsi="Arial" w:cs="Arial"/>
          <w:sz w:val="20"/>
        </w:rPr>
        <w:t xml:space="preserve">2017 </w:t>
      </w:r>
      <w:r w:rsidR="00D03004">
        <w:rPr>
          <w:rFonts w:ascii="Arial" w:hAnsi="Arial" w:cs="Arial"/>
          <w:sz w:val="20"/>
        </w:rPr>
        <w:t>Financial Statement of Company.</w:t>
      </w:r>
    </w:p>
    <w:p w:rsidR="00D03004" w:rsidRDefault="00D03004" w:rsidP="00D03004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General Meeting of Shareholders </w:t>
      </w:r>
      <w:r w:rsidR="00164090">
        <w:rPr>
          <w:rFonts w:ascii="Arial" w:hAnsi="Arial" w:cs="Arial"/>
          <w:sz w:val="20"/>
        </w:rPr>
        <w:t xml:space="preserve">approve with </w:t>
      </w:r>
      <w:r>
        <w:rPr>
          <w:rFonts w:ascii="Arial" w:hAnsi="Arial" w:cs="Arial"/>
          <w:sz w:val="20"/>
        </w:rPr>
        <w:t>rate of 100%.</w:t>
      </w:r>
    </w:p>
    <w:p w:rsidR="00D03004" w:rsidRDefault="002D716B" w:rsidP="00430D7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Article 4:</w:t>
      </w:r>
      <w:r w:rsidR="00D03004">
        <w:rPr>
          <w:rFonts w:ascii="Arial" w:hAnsi="Arial" w:cs="Arial"/>
          <w:sz w:val="20"/>
        </w:rPr>
        <w:t xml:space="preserve"> </w:t>
      </w:r>
      <w:r w:rsidR="00221D34">
        <w:rPr>
          <w:rFonts w:ascii="Arial" w:hAnsi="Arial" w:cs="Arial"/>
          <w:sz w:val="20"/>
        </w:rPr>
        <w:t>Approve</w:t>
      </w:r>
      <w:r w:rsidR="00D03004">
        <w:rPr>
          <w:rFonts w:ascii="Arial" w:hAnsi="Arial" w:cs="Arial"/>
          <w:sz w:val="20"/>
        </w:rPr>
        <w:t xml:space="preserve"> </w:t>
      </w:r>
      <w:r w:rsidR="006B208A">
        <w:rPr>
          <w:rFonts w:ascii="Arial" w:hAnsi="Arial" w:cs="Arial"/>
          <w:sz w:val="20"/>
        </w:rPr>
        <w:t xml:space="preserve">2016 </w:t>
      </w:r>
      <w:r w:rsidR="00D03004">
        <w:rPr>
          <w:rFonts w:ascii="Arial" w:hAnsi="Arial" w:cs="Arial"/>
          <w:sz w:val="20"/>
        </w:rPr>
        <w:t xml:space="preserve">Financial Statement and </w:t>
      </w:r>
      <w:r w:rsidR="006B208A">
        <w:rPr>
          <w:rFonts w:ascii="Arial" w:hAnsi="Arial" w:cs="Arial"/>
          <w:sz w:val="20"/>
        </w:rPr>
        <w:t xml:space="preserve">2016 </w:t>
      </w:r>
      <w:r w:rsidR="00D03004">
        <w:rPr>
          <w:rFonts w:ascii="Arial" w:hAnsi="Arial" w:cs="Arial"/>
          <w:sz w:val="20"/>
        </w:rPr>
        <w:t>Consoli</w:t>
      </w:r>
      <w:r w:rsidR="00DB42C6">
        <w:rPr>
          <w:rFonts w:ascii="Arial" w:hAnsi="Arial" w:cs="Arial"/>
          <w:sz w:val="20"/>
        </w:rPr>
        <w:t>dated Financial Statement audited.</w:t>
      </w:r>
    </w:p>
    <w:p w:rsidR="00DB42C6" w:rsidRDefault="00DB42C6" w:rsidP="00DB42C6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General Meeting of Shareholders </w:t>
      </w:r>
      <w:r w:rsidR="00164090">
        <w:rPr>
          <w:rFonts w:ascii="Arial" w:hAnsi="Arial" w:cs="Arial"/>
          <w:sz w:val="20"/>
        </w:rPr>
        <w:t xml:space="preserve">approve with </w:t>
      </w:r>
      <w:r>
        <w:rPr>
          <w:rFonts w:ascii="Arial" w:hAnsi="Arial" w:cs="Arial"/>
          <w:sz w:val="20"/>
        </w:rPr>
        <w:t>rate of 100%.</w:t>
      </w:r>
    </w:p>
    <w:p w:rsidR="00E2088E" w:rsidRDefault="002D716B" w:rsidP="00430D7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Article 5:</w:t>
      </w:r>
      <w:r w:rsidR="00DB42C6">
        <w:rPr>
          <w:rFonts w:ascii="Arial" w:hAnsi="Arial" w:cs="Arial"/>
          <w:sz w:val="20"/>
        </w:rPr>
        <w:t xml:space="preserve"> </w:t>
      </w:r>
      <w:r w:rsidR="00221D34">
        <w:rPr>
          <w:rFonts w:ascii="Arial" w:hAnsi="Arial" w:cs="Arial"/>
          <w:sz w:val="20"/>
        </w:rPr>
        <w:t>Approve</w:t>
      </w:r>
      <w:r w:rsidR="00CE2227">
        <w:rPr>
          <w:rFonts w:ascii="Arial" w:hAnsi="Arial" w:cs="Arial"/>
          <w:sz w:val="20"/>
        </w:rPr>
        <w:t xml:space="preserve"> remuneration and operation expense of</w:t>
      </w:r>
      <w:r w:rsidR="00E2088E">
        <w:rPr>
          <w:rFonts w:ascii="Arial" w:hAnsi="Arial" w:cs="Arial"/>
          <w:sz w:val="20"/>
        </w:rPr>
        <w:t xml:space="preserve"> Board of Directors &amp; </w:t>
      </w:r>
      <w:r w:rsidR="00221D34">
        <w:rPr>
          <w:rFonts w:ascii="Arial" w:hAnsi="Arial" w:cs="Arial"/>
          <w:sz w:val="20"/>
        </w:rPr>
        <w:t>Supervisors</w:t>
      </w:r>
      <w:r w:rsidR="00E2088E">
        <w:rPr>
          <w:rFonts w:ascii="Arial" w:hAnsi="Arial" w:cs="Arial"/>
          <w:sz w:val="20"/>
        </w:rPr>
        <w:t xml:space="preserve">, Secretary </w:t>
      </w:r>
      <w:r w:rsidR="006B208A">
        <w:rPr>
          <w:rFonts w:ascii="Arial" w:hAnsi="Arial" w:cs="Arial"/>
          <w:sz w:val="20"/>
        </w:rPr>
        <w:t xml:space="preserve">in </w:t>
      </w:r>
      <w:r w:rsidR="00E2088E">
        <w:rPr>
          <w:rFonts w:ascii="Arial" w:hAnsi="Arial" w:cs="Arial"/>
          <w:sz w:val="20"/>
        </w:rPr>
        <w:t>2017: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788"/>
      </w:tblGrid>
      <w:tr w:rsidR="005B62A0" w:rsidTr="00C6454F">
        <w:tc>
          <w:tcPr>
            <w:tcW w:w="4068" w:type="dxa"/>
          </w:tcPr>
          <w:p w:rsidR="00E2088E" w:rsidRDefault="00E2088E" w:rsidP="0044464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Remuneration </w:t>
            </w:r>
            <w:r w:rsidR="00444640">
              <w:rPr>
                <w:rFonts w:ascii="Arial" w:hAnsi="Arial" w:cs="Arial"/>
                <w:sz w:val="20"/>
              </w:rPr>
              <w:t>for</w:t>
            </w:r>
            <w:r>
              <w:rPr>
                <w:rFonts w:ascii="Arial" w:hAnsi="Arial" w:cs="Arial"/>
                <w:sz w:val="20"/>
              </w:rPr>
              <w:t xml:space="preserve"> President, Deputy President of the </w:t>
            </w:r>
            <w:r w:rsidR="00522E69">
              <w:rPr>
                <w:rFonts w:ascii="Arial" w:hAnsi="Arial" w:cs="Arial"/>
                <w:sz w:val="20"/>
              </w:rPr>
              <w:t>BOD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788" w:type="dxa"/>
          </w:tcPr>
          <w:p w:rsidR="00E2088E" w:rsidRDefault="005B62A0" w:rsidP="00E2088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10.000.000 VND/month/person</w:t>
            </w:r>
          </w:p>
        </w:tc>
      </w:tr>
      <w:tr w:rsidR="005B62A0" w:rsidTr="00C6454F">
        <w:tc>
          <w:tcPr>
            <w:tcW w:w="4068" w:type="dxa"/>
          </w:tcPr>
          <w:p w:rsidR="00E2088E" w:rsidRDefault="00E2088E" w:rsidP="00E2088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Members of Board of Directors:</w:t>
            </w:r>
          </w:p>
        </w:tc>
        <w:tc>
          <w:tcPr>
            <w:tcW w:w="4788" w:type="dxa"/>
          </w:tcPr>
          <w:p w:rsidR="00E2088E" w:rsidRDefault="005B62A0" w:rsidP="00E2088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8.000.000 VND/month/person</w:t>
            </w:r>
          </w:p>
        </w:tc>
      </w:tr>
      <w:tr w:rsidR="005B62A0" w:rsidTr="00C6454F">
        <w:tc>
          <w:tcPr>
            <w:tcW w:w="4068" w:type="dxa"/>
          </w:tcPr>
          <w:p w:rsidR="00E2088E" w:rsidRDefault="00E2088E" w:rsidP="00E2088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Members of Board of </w:t>
            </w:r>
            <w:r w:rsidR="00221D34">
              <w:rPr>
                <w:rFonts w:ascii="Arial" w:hAnsi="Arial" w:cs="Arial"/>
                <w:sz w:val="20"/>
              </w:rPr>
              <w:t>Supervisors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788" w:type="dxa"/>
          </w:tcPr>
          <w:p w:rsidR="00E2088E" w:rsidRDefault="005B62A0" w:rsidP="00E2088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6.000.000 VND/month/person</w:t>
            </w:r>
          </w:p>
        </w:tc>
      </w:tr>
      <w:tr w:rsidR="005B62A0" w:rsidTr="00C6454F">
        <w:tc>
          <w:tcPr>
            <w:tcW w:w="4068" w:type="dxa"/>
          </w:tcPr>
          <w:p w:rsidR="00E2088E" w:rsidRDefault="00973D3E" w:rsidP="00973D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Secretary of company:</w:t>
            </w:r>
          </w:p>
        </w:tc>
        <w:tc>
          <w:tcPr>
            <w:tcW w:w="4788" w:type="dxa"/>
          </w:tcPr>
          <w:p w:rsidR="00E2088E" w:rsidRDefault="005B62A0" w:rsidP="00E2088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4.000.000 VND/month/person</w:t>
            </w:r>
          </w:p>
        </w:tc>
      </w:tr>
      <w:tr w:rsidR="005B62A0" w:rsidTr="00C6454F">
        <w:tc>
          <w:tcPr>
            <w:tcW w:w="4068" w:type="dxa"/>
          </w:tcPr>
          <w:p w:rsidR="00E2088E" w:rsidRDefault="00973D3E" w:rsidP="00973D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973D3E">
              <w:rPr>
                <w:rFonts w:ascii="Arial" w:hAnsi="Arial" w:cs="Arial"/>
                <w:sz w:val="20"/>
              </w:rPr>
              <w:t>Head of control</w:t>
            </w:r>
            <w:r>
              <w:rPr>
                <w:rFonts w:ascii="Arial" w:hAnsi="Arial" w:cs="Arial"/>
                <w:sz w:val="20"/>
              </w:rPr>
              <w:t xml:space="preserve"> in charge:</w:t>
            </w:r>
          </w:p>
        </w:tc>
        <w:tc>
          <w:tcPr>
            <w:tcW w:w="4788" w:type="dxa"/>
          </w:tcPr>
          <w:p w:rsidR="00E2088E" w:rsidRDefault="004A4587" w:rsidP="00E2088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Enjoyed responsibility salary with major salary equivalently to salary of position Deputy Head of </w:t>
            </w:r>
            <w:r>
              <w:rPr>
                <w:rFonts w:ascii="Arial" w:hAnsi="Arial" w:cs="Arial"/>
                <w:sz w:val="20"/>
              </w:rPr>
              <w:lastRenderedPageBreak/>
              <w:t xml:space="preserve">office under salary payment regime of </w:t>
            </w:r>
            <w:proofErr w:type="spellStart"/>
            <w:r>
              <w:rPr>
                <w:rFonts w:ascii="Arial" w:hAnsi="Arial" w:cs="Arial"/>
                <w:sz w:val="20"/>
              </w:rPr>
              <w:t>Comapny</w:t>
            </w:r>
            <w:proofErr w:type="spellEnd"/>
          </w:p>
        </w:tc>
      </w:tr>
    </w:tbl>
    <w:p w:rsidR="004A4587" w:rsidRDefault="00CE2227" w:rsidP="00E2088E">
      <w:pPr>
        <w:pStyle w:val="ListParagraph"/>
        <w:jc w:val="both"/>
        <w:rPr>
          <w:rFonts w:ascii="Arial" w:hAnsi="Arial" w:cs="Arial"/>
          <w:sz w:val="20"/>
        </w:rPr>
      </w:pPr>
      <w:r w:rsidRPr="00E2088E">
        <w:rPr>
          <w:rFonts w:ascii="Arial" w:hAnsi="Arial" w:cs="Arial"/>
          <w:sz w:val="20"/>
        </w:rPr>
        <w:lastRenderedPageBreak/>
        <w:t xml:space="preserve"> </w:t>
      </w:r>
    </w:p>
    <w:p w:rsidR="004B6508" w:rsidRDefault="00C6454F" w:rsidP="009217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Total expenses for operations of Board of Directors &amp; </w:t>
      </w:r>
      <w:r w:rsidR="00221D34">
        <w:rPr>
          <w:rFonts w:ascii="Arial" w:hAnsi="Arial" w:cs="Arial"/>
          <w:sz w:val="20"/>
        </w:rPr>
        <w:t>Supervisors</w:t>
      </w:r>
      <w:r>
        <w:rPr>
          <w:rFonts w:ascii="Arial" w:hAnsi="Arial" w:cs="Arial"/>
          <w:sz w:val="20"/>
        </w:rPr>
        <w:t>; expenses for organizing General Meeting of Shareholder</w:t>
      </w:r>
      <w:r w:rsidR="004123C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; remuneration and bonus for </w:t>
      </w:r>
      <w:r w:rsidR="004B6508">
        <w:rPr>
          <w:rFonts w:ascii="Arial" w:hAnsi="Arial" w:cs="Arial"/>
          <w:sz w:val="20"/>
        </w:rPr>
        <w:t xml:space="preserve">Board of Directors &amp; </w:t>
      </w:r>
      <w:r w:rsidR="00221D34">
        <w:rPr>
          <w:rFonts w:ascii="Arial" w:hAnsi="Arial" w:cs="Arial"/>
          <w:sz w:val="20"/>
        </w:rPr>
        <w:t>Supervisors</w:t>
      </w:r>
      <w:r w:rsidR="004B6508">
        <w:rPr>
          <w:rFonts w:ascii="Arial" w:hAnsi="Arial" w:cs="Arial"/>
          <w:sz w:val="20"/>
        </w:rPr>
        <w:t xml:space="preserve"> do not exceed 3% of profit after tax 2017.</w:t>
      </w:r>
    </w:p>
    <w:p w:rsidR="004B6508" w:rsidRDefault="004B6508" w:rsidP="009217A9">
      <w:pPr>
        <w:jc w:val="both"/>
        <w:rPr>
          <w:rFonts w:ascii="Arial" w:hAnsi="Arial" w:cs="Arial"/>
          <w:sz w:val="20"/>
        </w:rPr>
      </w:pPr>
      <w:r w:rsidRPr="004B6508">
        <w:rPr>
          <w:rFonts w:ascii="Arial" w:hAnsi="Arial" w:cs="Arial"/>
          <w:sz w:val="20"/>
        </w:rPr>
        <w:t xml:space="preserve">General Meeting of Shareholders </w:t>
      </w:r>
      <w:r w:rsidR="00164090">
        <w:rPr>
          <w:rFonts w:ascii="Arial" w:hAnsi="Arial" w:cs="Arial"/>
          <w:sz w:val="20"/>
        </w:rPr>
        <w:t>approve with</w:t>
      </w:r>
      <w:r w:rsidRPr="004B6508">
        <w:rPr>
          <w:rFonts w:ascii="Arial" w:hAnsi="Arial" w:cs="Arial"/>
          <w:sz w:val="20"/>
        </w:rPr>
        <w:t xml:space="preserve"> rate of </w:t>
      </w:r>
      <w:r w:rsidR="00B164AF">
        <w:rPr>
          <w:rFonts w:ascii="Arial" w:hAnsi="Arial" w:cs="Arial"/>
          <w:sz w:val="20"/>
        </w:rPr>
        <w:t>82.15</w:t>
      </w:r>
      <w:r w:rsidRPr="004B6508">
        <w:rPr>
          <w:rFonts w:ascii="Arial" w:hAnsi="Arial" w:cs="Arial"/>
          <w:sz w:val="20"/>
        </w:rPr>
        <w:t>%.</w:t>
      </w:r>
    </w:p>
    <w:p w:rsidR="00B164AF" w:rsidRDefault="002D716B" w:rsidP="009217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Article 6:</w:t>
      </w:r>
      <w:r w:rsidR="00B164AF">
        <w:rPr>
          <w:rFonts w:ascii="Arial" w:hAnsi="Arial" w:cs="Arial"/>
          <w:sz w:val="20"/>
        </w:rPr>
        <w:t xml:space="preserve"> </w:t>
      </w:r>
      <w:r w:rsidR="00221D34">
        <w:rPr>
          <w:rFonts w:ascii="Arial" w:hAnsi="Arial" w:cs="Arial"/>
          <w:sz w:val="20"/>
        </w:rPr>
        <w:t>Approve</w:t>
      </w:r>
      <w:r w:rsidR="00B164AF">
        <w:rPr>
          <w:rFonts w:ascii="Arial" w:hAnsi="Arial" w:cs="Arial"/>
          <w:sz w:val="20"/>
        </w:rPr>
        <w:t xml:space="preserve"> distribution plan of profit, deduction for </w:t>
      </w:r>
      <w:r w:rsidR="004123C9">
        <w:rPr>
          <w:rFonts w:ascii="Arial" w:hAnsi="Arial" w:cs="Arial"/>
          <w:sz w:val="20"/>
        </w:rPr>
        <w:t>provisions</w:t>
      </w:r>
      <w:r w:rsidR="00B164AF">
        <w:rPr>
          <w:rFonts w:ascii="Arial" w:hAnsi="Arial" w:cs="Arial"/>
          <w:sz w:val="20"/>
        </w:rPr>
        <w:t xml:space="preserve">, dividend </w:t>
      </w:r>
      <w:r w:rsidR="00B54555">
        <w:rPr>
          <w:rFonts w:ascii="Arial" w:hAnsi="Arial" w:cs="Arial"/>
          <w:sz w:val="20"/>
        </w:rPr>
        <w:t xml:space="preserve">in 2016 and </w:t>
      </w:r>
      <w:r w:rsidR="00F44300">
        <w:rPr>
          <w:rFonts w:ascii="Arial" w:hAnsi="Arial" w:cs="Arial"/>
          <w:sz w:val="20"/>
        </w:rPr>
        <w:t xml:space="preserve">dividend </w:t>
      </w:r>
      <w:r w:rsidR="00B54555">
        <w:rPr>
          <w:rFonts w:ascii="Arial" w:hAnsi="Arial" w:cs="Arial"/>
          <w:sz w:val="20"/>
        </w:rPr>
        <w:t xml:space="preserve">proposal </w:t>
      </w:r>
      <w:r w:rsidR="00F44300">
        <w:rPr>
          <w:rFonts w:ascii="Arial" w:hAnsi="Arial" w:cs="Arial"/>
          <w:sz w:val="20"/>
        </w:rPr>
        <w:t>in 2017 with the following indicators: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5565"/>
        <w:gridCol w:w="700"/>
        <w:gridCol w:w="2484"/>
      </w:tblGrid>
      <w:tr w:rsidR="00F44300" w:rsidTr="00552EAC">
        <w:trPr>
          <w:jc w:val="center"/>
        </w:trPr>
        <w:tc>
          <w:tcPr>
            <w:tcW w:w="539" w:type="dxa"/>
          </w:tcPr>
          <w:p w:rsidR="00F44300" w:rsidRPr="00552EAC" w:rsidRDefault="00F44300" w:rsidP="00D20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2EAC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5565" w:type="dxa"/>
          </w:tcPr>
          <w:p w:rsidR="00F44300" w:rsidRPr="00552EAC" w:rsidRDefault="00F44300" w:rsidP="00D20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2EAC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700" w:type="dxa"/>
          </w:tcPr>
          <w:p w:rsidR="00F44300" w:rsidRPr="00552EAC" w:rsidRDefault="00F44300" w:rsidP="00933AF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2EAC">
              <w:rPr>
                <w:rFonts w:ascii="Arial" w:hAnsi="Arial" w:cs="Arial"/>
                <w:b/>
                <w:sz w:val="20"/>
              </w:rPr>
              <w:t>Rate</w:t>
            </w:r>
          </w:p>
        </w:tc>
        <w:tc>
          <w:tcPr>
            <w:tcW w:w="2484" w:type="dxa"/>
          </w:tcPr>
          <w:p w:rsidR="00F44300" w:rsidRPr="00552EAC" w:rsidRDefault="007A57D3" w:rsidP="00D20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2EAC">
              <w:rPr>
                <w:rFonts w:ascii="Arial" w:hAnsi="Arial" w:cs="Arial"/>
                <w:b/>
                <w:sz w:val="20"/>
              </w:rPr>
              <w:t>Implementation of 2016</w:t>
            </w:r>
          </w:p>
        </w:tc>
      </w:tr>
      <w:tr w:rsidR="00F44300" w:rsidTr="00552EAC">
        <w:trPr>
          <w:jc w:val="center"/>
        </w:trPr>
        <w:tc>
          <w:tcPr>
            <w:tcW w:w="539" w:type="dxa"/>
          </w:tcPr>
          <w:p w:rsidR="00F44300" w:rsidRDefault="007A57D3" w:rsidP="004B65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65" w:type="dxa"/>
          </w:tcPr>
          <w:p w:rsidR="00F44300" w:rsidRDefault="00735529" w:rsidP="004B65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2015 profits transferred </w:t>
            </w:r>
          </w:p>
        </w:tc>
        <w:tc>
          <w:tcPr>
            <w:tcW w:w="700" w:type="dxa"/>
          </w:tcPr>
          <w:p w:rsidR="00F44300" w:rsidRDefault="00F44300" w:rsidP="00933A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44300" w:rsidRDefault="00CC5ECD" w:rsidP="00933A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12.794.829.348</w:t>
            </w:r>
          </w:p>
        </w:tc>
      </w:tr>
      <w:tr w:rsidR="00F44300" w:rsidTr="00552EAC">
        <w:trPr>
          <w:jc w:val="center"/>
        </w:trPr>
        <w:tc>
          <w:tcPr>
            <w:tcW w:w="539" w:type="dxa"/>
          </w:tcPr>
          <w:p w:rsidR="00F44300" w:rsidRDefault="007A57D3" w:rsidP="004B65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565" w:type="dxa"/>
          </w:tcPr>
          <w:p w:rsidR="00F44300" w:rsidRDefault="00D206A9" w:rsidP="004B65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Profit after corporation income tax in 2016</w:t>
            </w:r>
          </w:p>
        </w:tc>
        <w:tc>
          <w:tcPr>
            <w:tcW w:w="700" w:type="dxa"/>
          </w:tcPr>
          <w:p w:rsidR="00F44300" w:rsidRDefault="00F44300" w:rsidP="00933A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44300" w:rsidRDefault="00CC5ECD" w:rsidP="00933A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76.388.934.173</w:t>
            </w:r>
          </w:p>
        </w:tc>
      </w:tr>
      <w:tr w:rsidR="00F44300" w:rsidTr="00552EAC">
        <w:trPr>
          <w:jc w:val="center"/>
        </w:trPr>
        <w:tc>
          <w:tcPr>
            <w:tcW w:w="539" w:type="dxa"/>
          </w:tcPr>
          <w:p w:rsidR="00F44300" w:rsidRDefault="007A57D3" w:rsidP="004B65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565" w:type="dxa"/>
          </w:tcPr>
          <w:p w:rsidR="00F44300" w:rsidRDefault="00D206A9" w:rsidP="00D206A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Deduction for provisions from 2016 profits</w:t>
            </w:r>
          </w:p>
        </w:tc>
        <w:tc>
          <w:tcPr>
            <w:tcW w:w="700" w:type="dxa"/>
          </w:tcPr>
          <w:p w:rsidR="00F44300" w:rsidRDefault="00F44300" w:rsidP="00933A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44300" w:rsidRDefault="00CC5ECD" w:rsidP="00933A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11.766.827.927</w:t>
            </w:r>
          </w:p>
        </w:tc>
      </w:tr>
      <w:tr w:rsidR="00F44300" w:rsidTr="00552EAC">
        <w:trPr>
          <w:jc w:val="center"/>
        </w:trPr>
        <w:tc>
          <w:tcPr>
            <w:tcW w:w="539" w:type="dxa"/>
          </w:tcPr>
          <w:p w:rsidR="00F44300" w:rsidRDefault="00F44300" w:rsidP="004B650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F44300" w:rsidRPr="005642BC" w:rsidRDefault="00B9032B" w:rsidP="00CC5E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0"/>
              </w:rPr>
            </w:pPr>
            <w:r w:rsidRPr="005642BC">
              <w:rPr>
                <w:rFonts w:ascii="Arial" w:hAnsi="Arial" w:cs="Arial"/>
                <w:i/>
                <w:sz w:val="20"/>
              </w:rPr>
              <w:t>Developed investment funds (From corporate income tax exempted</w:t>
            </w:r>
            <w:r w:rsidR="00CC5ECD" w:rsidRPr="005642BC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700" w:type="dxa"/>
          </w:tcPr>
          <w:p w:rsidR="00F44300" w:rsidRPr="007D15A3" w:rsidRDefault="00D206A9" w:rsidP="00933AF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15A3">
              <w:rPr>
                <w:rFonts w:ascii="Arial" w:hAnsi="Arial" w:cs="Arial"/>
                <w:i/>
                <w:sz w:val="20"/>
              </w:rPr>
              <w:t>10%</w:t>
            </w:r>
          </w:p>
        </w:tc>
        <w:tc>
          <w:tcPr>
            <w:tcW w:w="2484" w:type="dxa"/>
          </w:tcPr>
          <w:p w:rsidR="00F44300" w:rsidRDefault="00CC5ECD" w:rsidP="00933A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4.127.934.509</w:t>
            </w:r>
          </w:p>
        </w:tc>
      </w:tr>
      <w:tr w:rsidR="00CC5ECD" w:rsidTr="00552EAC">
        <w:trPr>
          <w:jc w:val="center"/>
        </w:trPr>
        <w:tc>
          <w:tcPr>
            <w:tcW w:w="539" w:type="dxa"/>
          </w:tcPr>
          <w:p w:rsidR="00CC5ECD" w:rsidRDefault="00CC5ECD" w:rsidP="004B650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CC5ECD" w:rsidRPr="005642BC" w:rsidRDefault="008A0401" w:rsidP="00CC5E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0"/>
              </w:rPr>
            </w:pPr>
            <w:r w:rsidRPr="005642BC">
              <w:rPr>
                <w:rFonts w:ascii="Arial" w:hAnsi="Arial" w:cs="Arial"/>
                <w:i/>
                <w:sz w:val="20"/>
              </w:rPr>
              <w:t>Funds for additional capital</w:t>
            </w:r>
          </w:p>
        </w:tc>
        <w:tc>
          <w:tcPr>
            <w:tcW w:w="700" w:type="dxa"/>
          </w:tcPr>
          <w:p w:rsidR="00CC5ECD" w:rsidRPr="007D15A3" w:rsidRDefault="006B1710" w:rsidP="00933AF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15A3">
              <w:rPr>
                <w:rFonts w:ascii="Arial" w:hAnsi="Arial" w:cs="Arial"/>
                <w:i/>
                <w:sz w:val="20"/>
              </w:rPr>
              <w:t>5%</w:t>
            </w:r>
          </w:p>
        </w:tc>
        <w:tc>
          <w:tcPr>
            <w:tcW w:w="2484" w:type="dxa"/>
          </w:tcPr>
          <w:p w:rsidR="00CC5ECD" w:rsidRDefault="006B1710" w:rsidP="00933A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3.819.446.709</w:t>
            </w:r>
          </w:p>
        </w:tc>
      </w:tr>
      <w:tr w:rsidR="00933AF5" w:rsidTr="00552EAC">
        <w:trPr>
          <w:jc w:val="center"/>
        </w:trPr>
        <w:tc>
          <w:tcPr>
            <w:tcW w:w="539" w:type="dxa"/>
          </w:tcPr>
          <w:p w:rsidR="00933AF5" w:rsidRDefault="00933AF5" w:rsidP="004B650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65" w:type="dxa"/>
          </w:tcPr>
          <w:p w:rsidR="00933AF5" w:rsidRPr="005642BC" w:rsidRDefault="00933AF5" w:rsidP="008A04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0"/>
              </w:rPr>
            </w:pPr>
            <w:r w:rsidRPr="005642BC">
              <w:rPr>
                <w:rFonts w:ascii="Arial" w:hAnsi="Arial" w:cs="Arial"/>
                <w:i/>
                <w:sz w:val="20"/>
              </w:rPr>
              <w:t>Reward and welfare funds</w:t>
            </w:r>
          </w:p>
        </w:tc>
        <w:tc>
          <w:tcPr>
            <w:tcW w:w="700" w:type="dxa"/>
          </w:tcPr>
          <w:p w:rsidR="00933AF5" w:rsidRPr="007D15A3" w:rsidRDefault="00933AF5" w:rsidP="00933AF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15A3">
              <w:rPr>
                <w:rFonts w:ascii="Arial" w:hAnsi="Arial" w:cs="Arial"/>
                <w:i/>
                <w:sz w:val="20"/>
              </w:rPr>
              <w:t>5%</w:t>
            </w:r>
          </w:p>
        </w:tc>
        <w:tc>
          <w:tcPr>
            <w:tcW w:w="2484" w:type="dxa"/>
          </w:tcPr>
          <w:p w:rsidR="00933AF5" w:rsidRDefault="00933AF5" w:rsidP="00933A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3.819.446.709</w:t>
            </w:r>
          </w:p>
        </w:tc>
      </w:tr>
      <w:tr w:rsidR="00933AF5" w:rsidTr="00552EAC">
        <w:trPr>
          <w:jc w:val="center"/>
        </w:trPr>
        <w:tc>
          <w:tcPr>
            <w:tcW w:w="539" w:type="dxa"/>
          </w:tcPr>
          <w:p w:rsidR="00933AF5" w:rsidRDefault="00933AF5" w:rsidP="004B65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565" w:type="dxa"/>
          </w:tcPr>
          <w:p w:rsidR="00933AF5" w:rsidRDefault="00933AF5" w:rsidP="00E705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Undistributed profits as of 31/12/2016 (1+2-3)</w:t>
            </w:r>
          </w:p>
        </w:tc>
        <w:tc>
          <w:tcPr>
            <w:tcW w:w="700" w:type="dxa"/>
          </w:tcPr>
          <w:p w:rsidR="00933AF5" w:rsidRPr="007D15A3" w:rsidRDefault="00933AF5" w:rsidP="00933AF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84" w:type="dxa"/>
          </w:tcPr>
          <w:p w:rsidR="00933AF5" w:rsidRDefault="00933AF5" w:rsidP="00933A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77.416.935.594</w:t>
            </w:r>
          </w:p>
        </w:tc>
      </w:tr>
      <w:tr w:rsidR="00933AF5" w:rsidTr="00552EAC">
        <w:trPr>
          <w:jc w:val="center"/>
        </w:trPr>
        <w:tc>
          <w:tcPr>
            <w:tcW w:w="539" w:type="dxa"/>
          </w:tcPr>
          <w:p w:rsidR="00933AF5" w:rsidRDefault="00933AF5" w:rsidP="004B65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565" w:type="dxa"/>
          </w:tcPr>
          <w:p w:rsidR="00933AF5" w:rsidRDefault="00933AF5" w:rsidP="004B65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Estimated dividend payment for shareholder in 2016</w:t>
            </w:r>
          </w:p>
        </w:tc>
        <w:tc>
          <w:tcPr>
            <w:tcW w:w="700" w:type="dxa"/>
          </w:tcPr>
          <w:p w:rsidR="00933AF5" w:rsidRPr="007D15A3" w:rsidRDefault="00933AF5" w:rsidP="00933AF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15A3">
              <w:rPr>
                <w:rFonts w:ascii="Arial" w:hAnsi="Arial" w:cs="Arial"/>
                <w:i/>
                <w:sz w:val="20"/>
              </w:rPr>
              <w:t>25%</w:t>
            </w:r>
          </w:p>
        </w:tc>
        <w:tc>
          <w:tcPr>
            <w:tcW w:w="2484" w:type="dxa"/>
          </w:tcPr>
          <w:p w:rsidR="00933AF5" w:rsidRDefault="00933AF5" w:rsidP="00933A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50.000.000.000</w:t>
            </w:r>
          </w:p>
        </w:tc>
      </w:tr>
      <w:tr w:rsidR="00933AF5" w:rsidTr="00552EAC">
        <w:trPr>
          <w:jc w:val="center"/>
        </w:trPr>
        <w:tc>
          <w:tcPr>
            <w:tcW w:w="539" w:type="dxa"/>
          </w:tcPr>
          <w:p w:rsidR="00933AF5" w:rsidRPr="005642BC" w:rsidRDefault="00933AF5" w:rsidP="004B6508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5642BC">
              <w:rPr>
                <w:rFonts w:ascii="Arial" w:hAnsi="Arial" w:cs="Arial"/>
                <w:i/>
                <w:sz w:val="20"/>
              </w:rPr>
              <w:t>a</w:t>
            </w:r>
          </w:p>
        </w:tc>
        <w:tc>
          <w:tcPr>
            <w:tcW w:w="5565" w:type="dxa"/>
          </w:tcPr>
          <w:p w:rsidR="00933AF5" w:rsidRPr="005642BC" w:rsidRDefault="00933AF5" w:rsidP="004B6508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Advance payment for 2016 dividend in cash (Paid on January 12, 2017)</w:t>
            </w:r>
          </w:p>
        </w:tc>
        <w:tc>
          <w:tcPr>
            <w:tcW w:w="700" w:type="dxa"/>
          </w:tcPr>
          <w:p w:rsidR="00933AF5" w:rsidRPr="007D15A3" w:rsidRDefault="00933AF5" w:rsidP="00933AF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15A3">
              <w:rPr>
                <w:rFonts w:ascii="Arial" w:hAnsi="Arial" w:cs="Arial"/>
                <w:i/>
                <w:sz w:val="20"/>
              </w:rPr>
              <w:t>10%</w:t>
            </w:r>
          </w:p>
        </w:tc>
        <w:tc>
          <w:tcPr>
            <w:tcW w:w="2484" w:type="dxa"/>
          </w:tcPr>
          <w:p w:rsidR="00933AF5" w:rsidRDefault="00933AF5" w:rsidP="00933A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20.000.000.000</w:t>
            </w:r>
          </w:p>
        </w:tc>
      </w:tr>
      <w:tr w:rsidR="00933AF5" w:rsidTr="00552EAC">
        <w:trPr>
          <w:jc w:val="center"/>
        </w:trPr>
        <w:tc>
          <w:tcPr>
            <w:tcW w:w="539" w:type="dxa"/>
          </w:tcPr>
          <w:p w:rsidR="00933AF5" w:rsidRPr="005642BC" w:rsidRDefault="00933AF5" w:rsidP="004B6508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5642BC">
              <w:rPr>
                <w:rFonts w:ascii="Arial" w:hAnsi="Arial" w:cs="Arial"/>
                <w:i/>
                <w:sz w:val="20"/>
              </w:rPr>
              <w:t>b</w:t>
            </w:r>
          </w:p>
        </w:tc>
        <w:tc>
          <w:tcPr>
            <w:tcW w:w="5565" w:type="dxa"/>
          </w:tcPr>
          <w:p w:rsidR="00933AF5" w:rsidRPr="005642BC" w:rsidRDefault="00933AF5" w:rsidP="004B6508">
            <w:p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Retained dividend in 2016</w:t>
            </w:r>
          </w:p>
        </w:tc>
        <w:tc>
          <w:tcPr>
            <w:tcW w:w="700" w:type="dxa"/>
          </w:tcPr>
          <w:p w:rsidR="00933AF5" w:rsidRPr="007D15A3" w:rsidRDefault="00933AF5" w:rsidP="00933AF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D15A3">
              <w:rPr>
                <w:rFonts w:ascii="Arial" w:hAnsi="Arial" w:cs="Arial"/>
                <w:i/>
                <w:sz w:val="20"/>
              </w:rPr>
              <w:t>15%</w:t>
            </w:r>
          </w:p>
        </w:tc>
        <w:tc>
          <w:tcPr>
            <w:tcW w:w="2484" w:type="dxa"/>
          </w:tcPr>
          <w:p w:rsidR="00933AF5" w:rsidRDefault="00933AF5" w:rsidP="00933A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30.000.000</w:t>
            </w:r>
          </w:p>
        </w:tc>
      </w:tr>
      <w:tr w:rsidR="00933AF5" w:rsidTr="00552EAC">
        <w:trPr>
          <w:jc w:val="center"/>
        </w:trPr>
        <w:tc>
          <w:tcPr>
            <w:tcW w:w="539" w:type="dxa"/>
          </w:tcPr>
          <w:p w:rsidR="00933AF5" w:rsidRDefault="00933AF5" w:rsidP="004B65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565" w:type="dxa"/>
          </w:tcPr>
          <w:p w:rsidR="00933AF5" w:rsidRDefault="003F5969" w:rsidP="004B65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933AF5">
              <w:rPr>
                <w:rFonts w:ascii="Arial" w:hAnsi="Arial" w:cs="Arial"/>
                <w:sz w:val="20"/>
              </w:rPr>
              <w:t>ndistributed profit transferred</w:t>
            </w:r>
            <w:r>
              <w:rPr>
                <w:rFonts w:ascii="Arial" w:hAnsi="Arial" w:cs="Arial"/>
                <w:sz w:val="20"/>
              </w:rPr>
              <w:t xml:space="preserve"> into 2017</w:t>
            </w:r>
          </w:p>
        </w:tc>
        <w:tc>
          <w:tcPr>
            <w:tcW w:w="700" w:type="dxa"/>
          </w:tcPr>
          <w:p w:rsidR="00933AF5" w:rsidRDefault="00933AF5" w:rsidP="00933AF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933AF5" w:rsidRDefault="00933AF5" w:rsidP="00933AF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27.416.935.594</w:t>
            </w:r>
          </w:p>
        </w:tc>
      </w:tr>
    </w:tbl>
    <w:p w:rsidR="00F44300" w:rsidRPr="004B6508" w:rsidRDefault="00F44300" w:rsidP="004B6508">
      <w:pPr>
        <w:jc w:val="both"/>
        <w:rPr>
          <w:rFonts w:ascii="Arial" w:hAnsi="Arial" w:cs="Arial"/>
          <w:sz w:val="20"/>
        </w:rPr>
      </w:pPr>
    </w:p>
    <w:p w:rsidR="004A4587" w:rsidRDefault="00B45623" w:rsidP="009217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Expected dividend of company in 2017: 26%</w:t>
      </w:r>
    </w:p>
    <w:p w:rsidR="00B45623" w:rsidRDefault="00B45623" w:rsidP="009217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Deduction for w</w:t>
      </w:r>
      <w:r w:rsidR="00164090">
        <w:rPr>
          <w:rFonts w:ascii="Arial" w:hAnsi="Arial" w:cs="Arial"/>
          <w:sz w:val="20"/>
        </w:rPr>
        <w:t>elfare and reward funds: 05% of profit after tax in 2017.</w:t>
      </w:r>
    </w:p>
    <w:p w:rsidR="001F23B5" w:rsidRPr="00DE2221" w:rsidRDefault="001F23B5" w:rsidP="00DE2221">
      <w:pPr>
        <w:jc w:val="both"/>
        <w:rPr>
          <w:rFonts w:ascii="Arial" w:hAnsi="Arial" w:cs="Arial"/>
          <w:sz w:val="20"/>
        </w:rPr>
      </w:pPr>
      <w:r w:rsidRPr="00DE2221">
        <w:rPr>
          <w:rFonts w:ascii="Arial" w:hAnsi="Arial" w:cs="Arial"/>
          <w:sz w:val="20"/>
        </w:rPr>
        <w:t>General Meeting of Shareholders approve with rate of 100%;</w:t>
      </w:r>
    </w:p>
    <w:p w:rsidR="001F23B5" w:rsidRDefault="002D716B" w:rsidP="009217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Article 7:</w:t>
      </w:r>
      <w:r w:rsidR="001F23B5">
        <w:rPr>
          <w:rFonts w:ascii="Arial" w:hAnsi="Arial" w:cs="Arial"/>
          <w:sz w:val="20"/>
        </w:rPr>
        <w:t xml:space="preserve"> Approve </w:t>
      </w:r>
      <w:r w:rsidR="00B34259">
        <w:rPr>
          <w:rFonts w:ascii="Arial" w:hAnsi="Arial" w:cs="Arial"/>
          <w:sz w:val="20"/>
        </w:rPr>
        <w:t xml:space="preserve">the </w:t>
      </w:r>
      <w:r w:rsidR="002920FC">
        <w:rPr>
          <w:rFonts w:ascii="Arial" w:hAnsi="Arial" w:cs="Arial"/>
          <w:sz w:val="20"/>
        </w:rPr>
        <w:t>dismissal</w:t>
      </w:r>
      <w:r w:rsidR="00B34259" w:rsidRPr="00B34259">
        <w:rPr>
          <w:rFonts w:ascii="Arial" w:hAnsi="Arial" w:cs="Arial"/>
          <w:sz w:val="20"/>
        </w:rPr>
        <w:t xml:space="preserve"> results</w:t>
      </w:r>
      <w:r w:rsidR="00B34259">
        <w:rPr>
          <w:rFonts w:ascii="Arial" w:hAnsi="Arial" w:cs="Arial"/>
          <w:sz w:val="20"/>
        </w:rPr>
        <w:t xml:space="preserve"> </w:t>
      </w:r>
      <w:r w:rsidR="00E8087F">
        <w:rPr>
          <w:rFonts w:ascii="Arial" w:hAnsi="Arial" w:cs="Arial"/>
          <w:sz w:val="20"/>
        </w:rPr>
        <w:t xml:space="preserve">for </w:t>
      </w:r>
      <w:r w:rsidR="008871FF">
        <w:rPr>
          <w:rFonts w:ascii="Arial" w:hAnsi="Arial" w:cs="Arial"/>
          <w:sz w:val="20"/>
        </w:rPr>
        <w:t>the position of M</w:t>
      </w:r>
      <w:r w:rsidR="00B34259">
        <w:rPr>
          <w:rFonts w:ascii="Arial" w:hAnsi="Arial" w:cs="Arial"/>
          <w:sz w:val="20"/>
        </w:rPr>
        <w:t xml:space="preserve">ember of </w:t>
      </w:r>
      <w:r w:rsidR="00B34259" w:rsidRPr="00E8087F">
        <w:rPr>
          <w:rFonts w:ascii="Arial" w:hAnsi="Arial" w:cs="Arial"/>
          <w:sz w:val="20"/>
        </w:rPr>
        <w:t>Board of Directors</w:t>
      </w:r>
      <w:r w:rsidR="006A1763">
        <w:rPr>
          <w:rFonts w:ascii="Arial" w:hAnsi="Arial" w:cs="Arial"/>
          <w:sz w:val="20"/>
        </w:rPr>
        <w:t xml:space="preserve"> of </w:t>
      </w:r>
      <w:r w:rsidR="001412E9" w:rsidRPr="001412E9">
        <w:rPr>
          <w:rFonts w:ascii="Arial" w:hAnsi="Arial" w:cs="Arial"/>
          <w:sz w:val="20"/>
        </w:rPr>
        <w:t xml:space="preserve">Mien </w:t>
      </w:r>
      <w:proofErr w:type="spellStart"/>
      <w:r w:rsidR="001412E9" w:rsidRPr="001412E9">
        <w:rPr>
          <w:rFonts w:ascii="Arial" w:hAnsi="Arial" w:cs="Arial"/>
          <w:sz w:val="20"/>
        </w:rPr>
        <w:t>Trung</w:t>
      </w:r>
      <w:proofErr w:type="spellEnd"/>
      <w:r w:rsidR="001412E9" w:rsidRPr="001412E9">
        <w:rPr>
          <w:rFonts w:ascii="Arial" w:hAnsi="Arial" w:cs="Arial"/>
          <w:sz w:val="20"/>
        </w:rPr>
        <w:t xml:space="preserve"> Power Investment </w:t>
      </w:r>
      <w:r w:rsidR="00C0631B">
        <w:rPr>
          <w:rFonts w:ascii="Arial" w:hAnsi="Arial" w:cs="Arial"/>
          <w:sz w:val="20"/>
        </w:rPr>
        <w:t>a</w:t>
      </w:r>
      <w:r w:rsidR="001412E9" w:rsidRPr="001412E9">
        <w:rPr>
          <w:rFonts w:ascii="Arial" w:hAnsi="Arial" w:cs="Arial"/>
          <w:sz w:val="20"/>
        </w:rPr>
        <w:t>nd Development Joint Stock Company</w:t>
      </w:r>
      <w:r w:rsidR="001412E9">
        <w:rPr>
          <w:rFonts w:ascii="Arial" w:hAnsi="Arial" w:cs="Arial"/>
          <w:sz w:val="20"/>
        </w:rPr>
        <w:t xml:space="preserve"> for Mr. Nguyen </w:t>
      </w:r>
      <w:proofErr w:type="spellStart"/>
      <w:r w:rsidR="001412E9">
        <w:rPr>
          <w:rFonts w:ascii="Arial" w:hAnsi="Arial" w:cs="Arial"/>
          <w:sz w:val="20"/>
        </w:rPr>
        <w:t>Duc</w:t>
      </w:r>
      <w:proofErr w:type="spellEnd"/>
      <w:r w:rsidR="001412E9">
        <w:rPr>
          <w:rFonts w:ascii="Arial" w:hAnsi="Arial" w:cs="Arial"/>
          <w:sz w:val="20"/>
        </w:rPr>
        <w:t xml:space="preserve"> from 07/07/2016.</w:t>
      </w:r>
    </w:p>
    <w:p w:rsidR="001412E9" w:rsidRDefault="00132750" w:rsidP="009217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Appoint </w:t>
      </w:r>
      <w:r w:rsidR="00FE2A77">
        <w:rPr>
          <w:rFonts w:ascii="Arial" w:hAnsi="Arial" w:cs="Arial"/>
          <w:sz w:val="20"/>
        </w:rPr>
        <w:t>the position of Member</w:t>
      </w:r>
      <w:r w:rsidR="008871FF">
        <w:rPr>
          <w:rFonts w:ascii="Arial" w:hAnsi="Arial" w:cs="Arial"/>
          <w:sz w:val="20"/>
        </w:rPr>
        <w:t xml:space="preserve"> Board of Director of </w:t>
      </w:r>
      <w:r w:rsidR="008871FF" w:rsidRPr="001412E9">
        <w:rPr>
          <w:rFonts w:ascii="Arial" w:hAnsi="Arial" w:cs="Arial"/>
          <w:sz w:val="20"/>
        </w:rPr>
        <w:t xml:space="preserve">Mien </w:t>
      </w:r>
      <w:proofErr w:type="spellStart"/>
      <w:r w:rsidR="008871FF" w:rsidRPr="001412E9">
        <w:rPr>
          <w:rFonts w:ascii="Arial" w:hAnsi="Arial" w:cs="Arial"/>
          <w:sz w:val="20"/>
        </w:rPr>
        <w:t>Trung</w:t>
      </w:r>
      <w:proofErr w:type="spellEnd"/>
      <w:r w:rsidR="008871FF" w:rsidRPr="001412E9">
        <w:rPr>
          <w:rFonts w:ascii="Arial" w:hAnsi="Arial" w:cs="Arial"/>
          <w:sz w:val="20"/>
        </w:rPr>
        <w:t xml:space="preserve"> Power Investment </w:t>
      </w:r>
      <w:r w:rsidR="00C0631B">
        <w:rPr>
          <w:rFonts w:ascii="Arial" w:hAnsi="Arial" w:cs="Arial"/>
          <w:sz w:val="20"/>
        </w:rPr>
        <w:t>a</w:t>
      </w:r>
      <w:r w:rsidR="008871FF" w:rsidRPr="001412E9">
        <w:rPr>
          <w:rFonts w:ascii="Arial" w:hAnsi="Arial" w:cs="Arial"/>
          <w:sz w:val="20"/>
        </w:rPr>
        <w:t>nd Development Joint Stock Company</w:t>
      </w:r>
      <w:r w:rsidR="008871FF">
        <w:rPr>
          <w:rFonts w:ascii="Arial" w:hAnsi="Arial" w:cs="Arial"/>
          <w:sz w:val="20"/>
        </w:rPr>
        <w:t xml:space="preserve"> for</w:t>
      </w:r>
      <w:r w:rsidR="00C0631B">
        <w:rPr>
          <w:rFonts w:ascii="Arial" w:hAnsi="Arial" w:cs="Arial"/>
          <w:sz w:val="20"/>
        </w:rPr>
        <w:t xml:space="preserve"> Mr. Vu </w:t>
      </w:r>
      <w:proofErr w:type="spellStart"/>
      <w:r w:rsidR="00C0631B">
        <w:rPr>
          <w:rFonts w:ascii="Arial" w:hAnsi="Arial" w:cs="Arial"/>
          <w:sz w:val="20"/>
        </w:rPr>
        <w:t>Quang</w:t>
      </w:r>
      <w:proofErr w:type="spellEnd"/>
      <w:r w:rsidR="00C0631B">
        <w:rPr>
          <w:rFonts w:ascii="Arial" w:hAnsi="Arial" w:cs="Arial"/>
          <w:sz w:val="20"/>
        </w:rPr>
        <w:t xml:space="preserve"> Sang born on 20/3/1956, ID card no.: 012888649 issued on 25/8/2005</w:t>
      </w:r>
      <w:r w:rsidR="002022C2">
        <w:rPr>
          <w:rFonts w:ascii="Arial" w:hAnsi="Arial" w:cs="Arial"/>
          <w:sz w:val="20"/>
        </w:rPr>
        <w:t xml:space="preserve"> at Hanoi Public Security as the rest </w:t>
      </w:r>
      <w:r w:rsidR="00DE2221">
        <w:rPr>
          <w:rFonts w:ascii="Arial" w:hAnsi="Arial" w:cs="Arial"/>
          <w:sz w:val="20"/>
        </w:rPr>
        <w:t>third term (2013-2018).</w:t>
      </w:r>
    </w:p>
    <w:p w:rsidR="00DE2221" w:rsidRDefault="00DE2221" w:rsidP="00DE2221">
      <w:pPr>
        <w:jc w:val="both"/>
        <w:rPr>
          <w:rFonts w:ascii="Arial" w:hAnsi="Arial" w:cs="Arial"/>
          <w:sz w:val="20"/>
        </w:rPr>
      </w:pPr>
      <w:r w:rsidRPr="00DE2221">
        <w:rPr>
          <w:rFonts w:ascii="Arial" w:hAnsi="Arial" w:cs="Arial"/>
          <w:sz w:val="20"/>
        </w:rPr>
        <w:t>General Meeting of Shareholders approve with rate of 100%;</w:t>
      </w:r>
    </w:p>
    <w:p w:rsidR="00DE2221" w:rsidRDefault="00DE2221" w:rsidP="00DE2221">
      <w:pPr>
        <w:jc w:val="both"/>
        <w:rPr>
          <w:rFonts w:ascii="Arial" w:hAnsi="Arial" w:cs="Arial"/>
          <w:sz w:val="20"/>
        </w:rPr>
      </w:pPr>
      <w:r w:rsidRPr="002D716B">
        <w:rPr>
          <w:rFonts w:ascii="Arial" w:hAnsi="Arial" w:cs="Arial"/>
          <w:b/>
          <w:sz w:val="20"/>
        </w:rPr>
        <w:t xml:space="preserve">Article </w:t>
      </w:r>
      <w:r w:rsidR="002D716B">
        <w:rPr>
          <w:rFonts w:ascii="Arial" w:hAnsi="Arial" w:cs="Arial"/>
          <w:b/>
          <w:sz w:val="20"/>
        </w:rPr>
        <w:t>8:</w:t>
      </w:r>
      <w:r>
        <w:rPr>
          <w:rFonts w:ascii="Arial" w:hAnsi="Arial" w:cs="Arial"/>
          <w:sz w:val="20"/>
        </w:rPr>
        <w:t xml:space="preserve"> </w:t>
      </w:r>
      <w:r w:rsidR="006F2355">
        <w:rPr>
          <w:rFonts w:ascii="Arial" w:hAnsi="Arial" w:cs="Arial"/>
          <w:sz w:val="20"/>
        </w:rPr>
        <w:t>Approve the</w:t>
      </w:r>
      <w:r w:rsidR="00E92C54" w:rsidRPr="00E92C54">
        <w:rPr>
          <w:rFonts w:ascii="Arial" w:hAnsi="Arial" w:cs="Arial"/>
          <w:sz w:val="20"/>
        </w:rPr>
        <w:t xml:space="preserve"> </w:t>
      </w:r>
      <w:r w:rsidR="00E92C54">
        <w:rPr>
          <w:rFonts w:ascii="Arial" w:hAnsi="Arial" w:cs="Arial"/>
          <w:sz w:val="20"/>
        </w:rPr>
        <w:t>dismissal</w:t>
      </w:r>
      <w:r w:rsidR="00E92C54" w:rsidRPr="00B34259">
        <w:rPr>
          <w:rFonts w:ascii="Arial" w:hAnsi="Arial" w:cs="Arial"/>
          <w:sz w:val="20"/>
        </w:rPr>
        <w:t xml:space="preserve"> </w:t>
      </w:r>
      <w:r w:rsidR="006F2355" w:rsidRPr="00B34259">
        <w:rPr>
          <w:rFonts w:ascii="Arial" w:hAnsi="Arial" w:cs="Arial"/>
          <w:sz w:val="20"/>
        </w:rPr>
        <w:t>results</w:t>
      </w:r>
      <w:r w:rsidR="006F2355">
        <w:rPr>
          <w:rFonts w:ascii="Arial" w:hAnsi="Arial" w:cs="Arial"/>
          <w:sz w:val="20"/>
        </w:rPr>
        <w:t xml:space="preserve"> for the position of Member of </w:t>
      </w:r>
      <w:r w:rsidR="006F2355" w:rsidRPr="00E8087F">
        <w:rPr>
          <w:rFonts w:ascii="Arial" w:hAnsi="Arial" w:cs="Arial"/>
          <w:sz w:val="20"/>
        </w:rPr>
        <w:t>Board of</w:t>
      </w:r>
      <w:r w:rsidR="006F2355">
        <w:rPr>
          <w:rFonts w:ascii="Arial" w:hAnsi="Arial" w:cs="Arial"/>
          <w:sz w:val="20"/>
        </w:rPr>
        <w:t xml:space="preserve"> Supervisors to Mr. </w:t>
      </w:r>
      <w:proofErr w:type="spellStart"/>
      <w:r w:rsidR="006F2355">
        <w:rPr>
          <w:rFonts w:ascii="Arial" w:hAnsi="Arial" w:cs="Arial"/>
          <w:sz w:val="20"/>
        </w:rPr>
        <w:t>Dinh</w:t>
      </w:r>
      <w:proofErr w:type="spellEnd"/>
      <w:r w:rsidR="006F2355">
        <w:rPr>
          <w:rFonts w:ascii="Arial" w:hAnsi="Arial" w:cs="Arial"/>
          <w:sz w:val="20"/>
        </w:rPr>
        <w:t xml:space="preserve"> </w:t>
      </w:r>
      <w:proofErr w:type="gramStart"/>
      <w:r w:rsidR="006F2355">
        <w:rPr>
          <w:rFonts w:ascii="Arial" w:hAnsi="Arial" w:cs="Arial"/>
          <w:sz w:val="20"/>
        </w:rPr>
        <w:t>The</w:t>
      </w:r>
      <w:proofErr w:type="gramEnd"/>
      <w:r w:rsidR="006F2355">
        <w:rPr>
          <w:rFonts w:ascii="Arial" w:hAnsi="Arial" w:cs="Arial"/>
          <w:sz w:val="20"/>
        </w:rPr>
        <w:t xml:space="preserve"> </w:t>
      </w:r>
      <w:proofErr w:type="spellStart"/>
      <w:r w:rsidR="006F2355">
        <w:rPr>
          <w:rFonts w:ascii="Arial" w:hAnsi="Arial" w:cs="Arial"/>
          <w:sz w:val="20"/>
        </w:rPr>
        <w:t>Gioi</w:t>
      </w:r>
      <w:proofErr w:type="spellEnd"/>
      <w:r w:rsidR="006F2355">
        <w:rPr>
          <w:rFonts w:ascii="Arial" w:hAnsi="Arial" w:cs="Arial"/>
          <w:sz w:val="20"/>
        </w:rPr>
        <w:t xml:space="preserve"> and appoint Mr. Nghiem Nguyen </w:t>
      </w:r>
      <w:proofErr w:type="spellStart"/>
      <w:r w:rsidR="006F2355">
        <w:rPr>
          <w:rFonts w:ascii="Arial" w:hAnsi="Arial" w:cs="Arial"/>
          <w:sz w:val="20"/>
        </w:rPr>
        <w:t>Cuong</w:t>
      </w:r>
      <w:proofErr w:type="spellEnd"/>
      <w:r w:rsidR="006F2355">
        <w:rPr>
          <w:rFonts w:ascii="Arial" w:hAnsi="Arial" w:cs="Arial"/>
          <w:sz w:val="20"/>
        </w:rPr>
        <w:t xml:space="preserve"> to be member of </w:t>
      </w:r>
      <w:r w:rsidR="00F55E75" w:rsidRPr="00E8087F">
        <w:rPr>
          <w:rFonts w:ascii="Arial" w:hAnsi="Arial" w:cs="Arial"/>
          <w:sz w:val="20"/>
        </w:rPr>
        <w:t>Board of</w:t>
      </w:r>
      <w:r w:rsidR="00F55E75">
        <w:rPr>
          <w:rFonts w:ascii="Arial" w:hAnsi="Arial" w:cs="Arial"/>
          <w:sz w:val="20"/>
        </w:rPr>
        <w:t xml:space="preserve"> Supervisors as term of 2013-2018.</w:t>
      </w:r>
    </w:p>
    <w:p w:rsidR="00F55E75" w:rsidRDefault="00F55E75" w:rsidP="00F55E75">
      <w:pPr>
        <w:jc w:val="both"/>
        <w:rPr>
          <w:rFonts w:ascii="Arial" w:hAnsi="Arial" w:cs="Arial"/>
          <w:sz w:val="20"/>
        </w:rPr>
      </w:pPr>
      <w:r w:rsidRPr="00DE2221">
        <w:rPr>
          <w:rFonts w:ascii="Arial" w:hAnsi="Arial" w:cs="Arial"/>
          <w:sz w:val="20"/>
        </w:rPr>
        <w:t xml:space="preserve">General Meeting of Shareholders approve with rate of </w:t>
      </w:r>
      <w:r>
        <w:rPr>
          <w:rFonts w:ascii="Arial" w:hAnsi="Arial" w:cs="Arial"/>
          <w:sz w:val="20"/>
        </w:rPr>
        <w:t>82.15</w:t>
      </w:r>
      <w:r w:rsidRPr="00DE2221">
        <w:rPr>
          <w:rFonts w:ascii="Arial" w:hAnsi="Arial" w:cs="Arial"/>
          <w:sz w:val="20"/>
        </w:rPr>
        <w:t>%;</w:t>
      </w:r>
    </w:p>
    <w:p w:rsidR="00F55E75" w:rsidRDefault="00F55E75" w:rsidP="00F55E7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Resolution </w:t>
      </w:r>
      <w:r w:rsidR="00575CB9">
        <w:rPr>
          <w:rFonts w:ascii="Arial" w:hAnsi="Arial" w:cs="Arial"/>
          <w:sz w:val="20"/>
        </w:rPr>
        <w:t>approve</w:t>
      </w:r>
      <w:r>
        <w:rPr>
          <w:rFonts w:ascii="Arial" w:hAnsi="Arial" w:cs="Arial"/>
          <w:sz w:val="20"/>
        </w:rPr>
        <w:t xml:space="preserve"> all </w:t>
      </w:r>
      <w:r w:rsidR="00796155">
        <w:rPr>
          <w:rFonts w:ascii="Arial" w:hAnsi="Arial" w:cs="Arial"/>
          <w:sz w:val="20"/>
        </w:rPr>
        <w:t>documents</w:t>
      </w:r>
      <w:r>
        <w:rPr>
          <w:rFonts w:ascii="Arial" w:hAnsi="Arial" w:cs="Arial"/>
          <w:sz w:val="20"/>
        </w:rPr>
        <w:t xml:space="preserve"> with rate of u</w:t>
      </w:r>
      <w:r w:rsidRPr="00F55E75">
        <w:rPr>
          <w:rFonts w:ascii="Arial" w:hAnsi="Arial" w:cs="Arial"/>
          <w:sz w:val="20"/>
        </w:rPr>
        <w:t>nified voting</w:t>
      </w:r>
      <w:r w:rsidR="004272BA">
        <w:rPr>
          <w:rFonts w:ascii="Arial" w:hAnsi="Arial" w:cs="Arial"/>
          <w:sz w:val="20"/>
        </w:rPr>
        <w:t xml:space="preserve"> and take efficient from completing the meeting. General Meeting of Shareholders authorize </w:t>
      </w:r>
      <w:r w:rsidR="00757E13" w:rsidRPr="00E8087F">
        <w:rPr>
          <w:rFonts w:ascii="Arial" w:hAnsi="Arial" w:cs="Arial"/>
          <w:sz w:val="20"/>
        </w:rPr>
        <w:t>Board of Directors</w:t>
      </w:r>
      <w:r w:rsidR="00757E13">
        <w:rPr>
          <w:rFonts w:ascii="Arial" w:hAnsi="Arial" w:cs="Arial"/>
          <w:sz w:val="20"/>
        </w:rPr>
        <w:t xml:space="preserve"> to develop the correct implementation of the above contents according to regulations.</w:t>
      </w:r>
    </w:p>
    <w:p w:rsidR="00F55E75" w:rsidRPr="00DE2221" w:rsidRDefault="00F55E75" w:rsidP="00DE2221">
      <w:pPr>
        <w:jc w:val="both"/>
        <w:rPr>
          <w:rFonts w:ascii="Arial" w:hAnsi="Arial" w:cs="Arial"/>
          <w:sz w:val="20"/>
        </w:rPr>
      </w:pPr>
    </w:p>
    <w:p w:rsidR="00DE2221" w:rsidRPr="001F23B5" w:rsidRDefault="00DE2221" w:rsidP="009217A9">
      <w:pPr>
        <w:jc w:val="both"/>
        <w:rPr>
          <w:rFonts w:ascii="Arial" w:hAnsi="Arial" w:cs="Arial"/>
          <w:sz w:val="20"/>
        </w:rPr>
      </w:pPr>
    </w:p>
    <w:p w:rsidR="00164090" w:rsidRPr="00B45623" w:rsidRDefault="00164090" w:rsidP="009217A9">
      <w:pPr>
        <w:pStyle w:val="ListParagraph"/>
        <w:jc w:val="both"/>
        <w:rPr>
          <w:rFonts w:ascii="Arial" w:hAnsi="Arial" w:cs="Arial"/>
          <w:sz w:val="20"/>
        </w:rPr>
      </w:pPr>
    </w:p>
    <w:p w:rsidR="00DB42C6" w:rsidRPr="004A4587" w:rsidRDefault="00DB42C6" w:rsidP="009217A9">
      <w:pPr>
        <w:jc w:val="both"/>
        <w:rPr>
          <w:rFonts w:ascii="Arial" w:hAnsi="Arial" w:cs="Arial"/>
          <w:sz w:val="20"/>
        </w:rPr>
      </w:pPr>
    </w:p>
    <w:sectPr w:rsidR="00DB42C6" w:rsidRPr="004A4587" w:rsidSect="004A4587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97AD1"/>
    <w:multiLevelType w:val="hybridMultilevel"/>
    <w:tmpl w:val="0E40190E"/>
    <w:lvl w:ilvl="0" w:tplc="9A10F6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632C8"/>
    <w:multiLevelType w:val="hybridMultilevel"/>
    <w:tmpl w:val="F9A4CF28"/>
    <w:lvl w:ilvl="0" w:tplc="A2A2A5E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87E61"/>
    <w:multiLevelType w:val="hybridMultilevel"/>
    <w:tmpl w:val="BD921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A4"/>
    <w:rsid w:val="000C5B67"/>
    <w:rsid w:val="000E790A"/>
    <w:rsid w:val="000F202D"/>
    <w:rsid w:val="00110EBF"/>
    <w:rsid w:val="00132750"/>
    <w:rsid w:val="001412E9"/>
    <w:rsid w:val="00164090"/>
    <w:rsid w:val="001F23B5"/>
    <w:rsid w:val="00201CC9"/>
    <w:rsid w:val="002022C2"/>
    <w:rsid w:val="00221D34"/>
    <w:rsid w:val="0024775C"/>
    <w:rsid w:val="00264C4E"/>
    <w:rsid w:val="002920FC"/>
    <w:rsid w:val="002D716B"/>
    <w:rsid w:val="002E0692"/>
    <w:rsid w:val="00312829"/>
    <w:rsid w:val="003C6035"/>
    <w:rsid w:val="003E42A4"/>
    <w:rsid w:val="003F5969"/>
    <w:rsid w:val="004123C9"/>
    <w:rsid w:val="004272BA"/>
    <w:rsid w:val="00430D71"/>
    <w:rsid w:val="00444640"/>
    <w:rsid w:val="004A4587"/>
    <w:rsid w:val="004B6508"/>
    <w:rsid w:val="004E55EC"/>
    <w:rsid w:val="00522E69"/>
    <w:rsid w:val="00552EAC"/>
    <w:rsid w:val="005642BC"/>
    <w:rsid w:val="00573C4D"/>
    <w:rsid w:val="00575CB9"/>
    <w:rsid w:val="005B62A0"/>
    <w:rsid w:val="005F1C08"/>
    <w:rsid w:val="00667EE1"/>
    <w:rsid w:val="006A1763"/>
    <w:rsid w:val="006B1710"/>
    <w:rsid w:val="006B208A"/>
    <w:rsid w:val="006F2355"/>
    <w:rsid w:val="00735529"/>
    <w:rsid w:val="00757E13"/>
    <w:rsid w:val="00777673"/>
    <w:rsid w:val="007867D2"/>
    <w:rsid w:val="00796155"/>
    <w:rsid w:val="007A57D3"/>
    <w:rsid w:val="007C3AFC"/>
    <w:rsid w:val="007D15A3"/>
    <w:rsid w:val="008871FF"/>
    <w:rsid w:val="008911A3"/>
    <w:rsid w:val="008A0401"/>
    <w:rsid w:val="008E3767"/>
    <w:rsid w:val="009217A9"/>
    <w:rsid w:val="00933AF5"/>
    <w:rsid w:val="00973D3E"/>
    <w:rsid w:val="0098627A"/>
    <w:rsid w:val="009B4670"/>
    <w:rsid w:val="009E718E"/>
    <w:rsid w:val="00A7009C"/>
    <w:rsid w:val="00AA4306"/>
    <w:rsid w:val="00B0479E"/>
    <w:rsid w:val="00B164AF"/>
    <w:rsid w:val="00B34259"/>
    <w:rsid w:val="00B418D4"/>
    <w:rsid w:val="00B45623"/>
    <w:rsid w:val="00B54555"/>
    <w:rsid w:val="00B9032B"/>
    <w:rsid w:val="00BE17FD"/>
    <w:rsid w:val="00BE4004"/>
    <w:rsid w:val="00C0631B"/>
    <w:rsid w:val="00C56169"/>
    <w:rsid w:val="00C6454F"/>
    <w:rsid w:val="00CC5ECD"/>
    <w:rsid w:val="00CE1195"/>
    <w:rsid w:val="00CE2227"/>
    <w:rsid w:val="00D03004"/>
    <w:rsid w:val="00D206A9"/>
    <w:rsid w:val="00DB42C6"/>
    <w:rsid w:val="00DE2221"/>
    <w:rsid w:val="00E03FEB"/>
    <w:rsid w:val="00E2088E"/>
    <w:rsid w:val="00E302CA"/>
    <w:rsid w:val="00E41C1B"/>
    <w:rsid w:val="00E705E6"/>
    <w:rsid w:val="00E8087F"/>
    <w:rsid w:val="00E854C2"/>
    <w:rsid w:val="00E92C54"/>
    <w:rsid w:val="00EF7C4B"/>
    <w:rsid w:val="00F44300"/>
    <w:rsid w:val="00F55E75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1C9ADB-5BDD-498C-8161-8CF441F7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B67"/>
    <w:pPr>
      <w:ind w:left="720"/>
      <w:contextualSpacing/>
    </w:pPr>
  </w:style>
  <w:style w:type="table" w:styleId="TableGrid">
    <w:name w:val="Table Grid"/>
    <w:basedOn w:val="TableNormal"/>
    <w:uiPriority w:val="59"/>
    <w:rsid w:val="0024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dcterms:created xsi:type="dcterms:W3CDTF">2017-05-11T08:35:00Z</dcterms:created>
  <dcterms:modified xsi:type="dcterms:W3CDTF">2017-05-12T08:31:00Z</dcterms:modified>
</cp:coreProperties>
</file>